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jc w:val="center"/>
        <w:rPr>
          <w:rFonts w:ascii="Times New Roman" w:hAnsi="Times New Roman" w:cs="Times New Roman"/>
          <w:b w:val="1"/>
          <w:sz w:val="28"/>
          <w:szCs w:val="28"/>
        </w:rPr>
      </w:pPr>
      <w:r>
        <w:rPr>
          <w:rFonts w:ascii="Times New Roman" w:hAnsi="Times New Roman" w:cs="Times New Roman"/>
          <w:b w:val="1"/>
          <w:sz w:val="32"/>
          <w:szCs w:val="28"/>
        </w:rPr>
        <w:t>Протокол про результати голосування</w:t>
      </w:r>
    </w:p>
    <w:p>
      <w:pPr>
        <w:spacing w:after="0" w:beforeAutospacing="0" w:afterAutospacing="0"/>
        <w:jc w:val="center"/>
        <w:rPr>
          <w:rFonts w:ascii="Times New Roman" w:hAnsi="Times New Roman" w:cs="Times New Roman"/>
          <w:sz w:val="24"/>
          <w:szCs w:val="24"/>
        </w:rPr>
      </w:pPr>
      <w:r>
        <w:rPr>
          <w:rFonts w:ascii="Times New Roman" w:hAnsi="Times New Roman" w:cs="Times New Roman"/>
          <w:sz w:val="24"/>
          <w:szCs w:val="24"/>
        </w:rPr>
        <w:t xml:space="preserve">на </w:t>
      </w:r>
      <w:r>
        <w:rPr>
          <w:rFonts w:ascii="Times New Roman" w:hAnsi="Times New Roman" w:cs="Times New Roman"/>
          <w:sz w:val="24"/>
          <w:szCs w:val="24"/>
          <w:lang w:val="en-US"/>
        </w:rPr>
        <w:t xml:space="preserve"> </w:t>
      </w:r>
      <w:r>
        <w:rPr>
          <w:rFonts w:ascii="Times New Roman" w:hAnsi="Times New Roman" w:cs="Times New Roman"/>
          <w:sz w:val="24"/>
          <w:szCs w:val="24"/>
          <w:lang w:val="ru-UA"/>
        </w:rPr>
        <w:t xml:space="preserve">зборах </w:t>
      </w:r>
      <w:r>
        <w:rPr>
          <w:rFonts w:ascii="Times New Roman" w:hAnsi="Times New Roman" w:cs="Times New Roman"/>
          <w:sz w:val="24"/>
          <w:szCs w:val="24"/>
        </w:rPr>
        <w:t>власників облігацій емітента</w:t>
      </w:r>
    </w:p>
    <w:p>
      <w:pPr>
        <w:spacing w:after="0" w:beforeAutospacing="0" w:afterAutospacing="0"/>
        <w:jc w:val="center"/>
        <w:rPr>
          <w:rFonts w:ascii="Times New Roman" w:hAnsi="Times New Roman" w:cs="Times New Roman"/>
          <w:i w:val="1"/>
          <w:sz w:val="24"/>
          <w:szCs w:val="24"/>
          <w:lang w:val="ru-RU"/>
        </w:rPr>
      </w:pPr>
      <w:bookmarkStart w:id="0" w:name="_Hlk71659140"/>
      <w:r>
        <w:rPr>
          <w:rFonts w:ascii="Times New Roman" w:hAnsi="Times New Roman" w:cs="Times New Roman"/>
          <w:i w:val="1"/>
          <w:sz w:val="24"/>
          <w:szCs w:val="24"/>
          <w:lang w:val="ru-RU"/>
        </w:rPr>
        <w:t>ТОВАРИСТВО З ОБМЕЖЕНОЮ ВІДПОВІДАЛЬНІСТЮ "КОМПАНІ ІНВЕСТ ФІНАНС"</w:t>
      </w:r>
    </w:p>
    <w:p>
      <w:pPr>
        <w:spacing w:after="0" w:beforeAutospacing="0" w:afterAutospacing="0"/>
        <w:jc w:val="center"/>
        <w:rPr>
          <w:rFonts w:ascii="Times New Roman" w:hAnsi="Times New Roman"/>
          <w:i w:val="1"/>
          <w:sz w:val="24"/>
          <w:lang w:val="ru-RU"/>
        </w:rPr>
      </w:pPr>
      <w:r>
        <w:rPr>
          <w:rFonts w:ascii="Times New Roman" w:hAnsi="Times New Roman" w:cs="Times New Roman"/>
          <w:sz w:val="24"/>
          <w:szCs w:val="24"/>
        </w:rPr>
        <w:t xml:space="preserve">(код за ЄДРПОУ </w:t>
      </w:r>
      <w:r>
        <w:rPr>
          <w:rFonts w:ascii="Times New Roman" w:hAnsi="Times New Roman" w:cs="Times New Roman"/>
          <w:i w:val="1"/>
          <w:sz w:val="24"/>
          <w:szCs w:val="24"/>
          <w:lang w:val="ru-RU"/>
        </w:rPr>
        <w:t>40284315</w:t>
      </w:r>
      <w:r>
        <w:rPr>
          <w:rFonts w:ascii="Times New Roman" w:hAnsi="Times New Roman" w:cs="Times New Roman"/>
          <w:i w:val="1"/>
          <w:sz w:val="24"/>
          <w:szCs w:val="24"/>
          <w:lang w:val="ru-RU"/>
        </w:rPr>
        <w:t>)</w:t>
      </w:r>
      <w:r>
        <w:rPr>
          <w:rFonts w:ascii="Times New Roman" w:hAnsi="Times New Roman"/>
          <w:i w:val="1"/>
          <w:sz w:val="24"/>
          <w:lang w:val="ru-RU"/>
        </w:rPr>
        <w:t xml:space="preserve">, які проведено через авторизовану електронну </w:t>
      </w:r>
    </w:p>
    <w:p>
      <w:pPr>
        <w:spacing w:after="0" w:beforeAutospacing="0" w:afterAutospacing="0"/>
        <w:jc w:val="center"/>
        <w:rPr>
          <w:rFonts w:ascii="Times New Roman" w:hAnsi="Times New Roman"/>
          <w:sz w:val="24"/>
          <w:lang w:val="ru-RU"/>
        </w:rPr>
      </w:pPr>
      <w:r>
        <w:rPr>
          <w:rFonts w:ascii="Times New Roman" w:hAnsi="Times New Roman"/>
          <w:i w:val="1"/>
          <w:sz w:val="24"/>
          <w:lang w:val="ru-RU"/>
        </w:rPr>
        <w:t>систему</w:t>
      </w:r>
    </w:p>
    <w:p>
      <w:pPr>
        <w:spacing w:after="0" w:beforeAutospacing="0" w:afterAutospacing="0"/>
        <w:jc w:val="center"/>
        <w:rPr>
          <w:rFonts w:ascii="Times New Roman" w:hAnsi="Times New Roman" w:cs="Times New Roman"/>
          <w:sz w:val="24"/>
          <w:szCs w:val="24"/>
          <w:lang w:val="en-US"/>
        </w:rPr>
      </w:pPr>
    </w:p>
    <w:p>
      <w:pPr>
        <w:spacing w:after="0" w:beforeAutospacing="0" w:afterAutospacing="0"/>
        <w:jc w:val="center"/>
        <w:rPr>
          <w:rFonts w:ascii="Times New Roman" w:hAnsi="Times New Roman" w:cs="Times New Roman"/>
          <w:sz w:val="24"/>
          <w:szCs w:val="24"/>
        </w:rPr>
      </w:pPr>
      <w:bookmarkEnd w:id="0"/>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5103" w:type="dxa"/>
          </w:tcPr>
          <w:p>
            <w:pPr>
              <w:rPr>
                <w:rFonts w:ascii="Times New Roman" w:hAnsi="Times New Roman" w:cs="Times New Roman"/>
                <w:sz w:val="24"/>
                <w:szCs w:val="24"/>
              </w:rPr>
            </w:pPr>
            <w:r>
              <w:rPr>
                <w:rFonts w:ascii="Times New Roman" w:hAnsi="Times New Roman" w:cs="Times New Roman"/>
                <w:sz w:val="24"/>
                <w:szCs w:val="24"/>
              </w:rPr>
              <w:t>Дата проведення зборів:</w:t>
            </w:r>
          </w:p>
        </w:tc>
        <w:tc>
          <w:tcPr>
            <w:tcW w:w="4526" w:type="dxa"/>
          </w:tcPr>
          <w:p>
            <w:pPr>
              <w:rPr>
                <w:rFonts w:ascii="Times New Roman" w:hAnsi="Times New Roman" w:cs="Times New Roman"/>
                <w:sz w:val="24"/>
                <w:szCs w:val="24"/>
              </w:rPr>
            </w:pPr>
            <w:r>
              <w:rPr>
                <w:rFonts w:ascii="Times New Roman" w:hAnsi="Times New Roman" w:cs="Times New Roman"/>
                <w:sz w:val="24"/>
                <w:szCs w:val="24"/>
                <w:lang w:val="en-US"/>
              </w:rPr>
              <w:t>07.04.2026</w:t>
            </w:r>
          </w:p>
        </w:tc>
      </w:tr>
      <w:tr>
        <w:tc>
          <w:tcPr>
            <w:tcW w:w="5103" w:type="dxa"/>
          </w:tcPr>
          <w:p>
            <w:pPr>
              <w:rPr>
                <w:rFonts w:ascii="Times New Roman" w:hAnsi="Times New Roman" w:cs="Times New Roman"/>
                <w:sz w:val="24"/>
                <w:szCs w:val="24"/>
              </w:rPr>
            </w:pPr>
          </w:p>
        </w:tc>
        <w:tc>
          <w:tcPr>
            <w:tcW w:w="4526" w:type="dxa"/>
          </w:tcPr>
          <w:p>
            <w:pPr>
              <w:rPr>
                <w:rFonts w:ascii="Times New Roman" w:hAnsi="Times New Roman" w:cs="Times New Roman"/>
                <w:sz w:val="24"/>
                <w:szCs w:val="24"/>
              </w:rPr>
            </w:pPr>
          </w:p>
        </w:tc>
      </w:tr>
      <w:tr>
        <w:tc>
          <w:tcPr>
            <w:tcW w:w="5103" w:type="dxa"/>
          </w:tcPr>
          <w:p>
            <w:pPr>
              <w:rPr>
                <w:rFonts w:ascii="Times New Roman" w:hAnsi="Times New Roman" w:cs="Times New Roman"/>
                <w:sz w:val="24"/>
                <w:szCs w:val="24"/>
              </w:rPr>
            </w:pPr>
            <w:r>
              <w:rPr>
                <w:rFonts w:ascii="Times New Roman" w:hAnsi="Times New Roman" w:cs="Times New Roman"/>
                <w:sz w:val="24"/>
                <w:szCs w:val="24"/>
              </w:rPr>
              <w:t>Дата та час початку реєстрації:</w:t>
            </w:r>
          </w:p>
        </w:tc>
        <w:tc>
          <w:tcPr>
            <w:tcW w:w="4526" w:type="dxa"/>
          </w:tcPr>
          <w:p>
            <w:pPr>
              <w:rPr>
                <w:rFonts w:ascii="Times New Roman" w:hAnsi="Times New Roman" w:cs="Times New Roman"/>
                <w:i w:val="1"/>
                <w:sz w:val="24"/>
                <w:szCs w:val="24"/>
                <w:lang w:val="en-US"/>
              </w:rPr>
            </w:pPr>
            <w:r>
              <w:rPr>
                <w:rFonts w:ascii="Times New Roman" w:hAnsi="Times New Roman" w:cs="Times New Roman"/>
                <w:i w:val="1"/>
                <w:sz w:val="24"/>
                <w:szCs w:val="24"/>
                <w:lang w:val="en-US"/>
              </w:rPr>
              <w:t>07.04.2026 10:00</w:t>
            </w:r>
          </w:p>
        </w:tc>
      </w:tr>
      <w:tr>
        <w:tc>
          <w:tcPr>
            <w:tcW w:w="5103" w:type="dxa"/>
          </w:tcPr>
          <w:p>
            <w:pPr>
              <w:rPr>
                <w:rFonts w:ascii="Times New Roman" w:hAnsi="Times New Roman" w:cs="Times New Roman"/>
                <w:sz w:val="24"/>
                <w:szCs w:val="24"/>
              </w:rPr>
            </w:pPr>
            <w:r>
              <w:rPr>
                <w:rFonts w:ascii="Times New Roman" w:hAnsi="Times New Roman" w:cs="Times New Roman"/>
                <w:sz w:val="24"/>
                <w:szCs w:val="24"/>
              </w:rPr>
              <w:t>Дата та час закінчення реєстрації:</w:t>
            </w:r>
          </w:p>
        </w:tc>
        <w:tc>
          <w:tcPr>
            <w:tcW w:w="4526" w:type="dxa"/>
          </w:tcPr>
          <w:p>
            <w:pPr>
              <w:rPr>
                <w:rFonts w:ascii="Times New Roman" w:hAnsi="Times New Roman" w:cs="Times New Roman"/>
                <w:i w:val="1"/>
                <w:sz w:val="24"/>
                <w:szCs w:val="24"/>
                <w:lang w:val="en-US"/>
              </w:rPr>
            </w:pPr>
            <w:r>
              <w:rPr>
                <w:rFonts w:ascii="Times New Roman" w:hAnsi="Times New Roman" w:cs="Times New Roman"/>
                <w:i w:val="1"/>
                <w:sz w:val="24"/>
                <w:szCs w:val="24"/>
                <w:lang w:val="en-US"/>
              </w:rPr>
              <w:t>07.04.2026 12:00</w:t>
            </w:r>
          </w:p>
        </w:tc>
      </w:tr>
      <w:tr>
        <w:tc>
          <w:tcPr>
            <w:tcW w:w="5103" w:type="dxa"/>
          </w:tcPr>
          <w:p>
            <w:pPr>
              <w:rPr>
                <w:rFonts w:ascii="Times New Roman" w:hAnsi="Times New Roman" w:cs="Times New Roman"/>
                <w:sz w:val="24"/>
                <w:szCs w:val="24"/>
              </w:rPr>
            </w:pPr>
          </w:p>
        </w:tc>
        <w:tc>
          <w:tcPr>
            <w:tcW w:w="4526" w:type="dxa"/>
          </w:tcPr>
          <w:p>
            <w:pPr>
              <w:rPr>
                <w:rFonts w:ascii="Times New Roman" w:hAnsi="Times New Roman" w:cs="Times New Roman"/>
                <w:i w:val="1"/>
                <w:sz w:val="24"/>
                <w:szCs w:val="24"/>
              </w:rPr>
            </w:pPr>
          </w:p>
        </w:tc>
      </w:tr>
      <w:tr>
        <w:tc>
          <w:tcPr>
            <w:tcW w:w="5103" w:type="dxa"/>
          </w:tcPr>
          <w:p>
            <w:pPr>
              <w:rPr>
                <w:rFonts w:ascii="Times New Roman" w:hAnsi="Times New Roman" w:cs="Times New Roman"/>
                <w:sz w:val="24"/>
                <w:szCs w:val="24"/>
              </w:rPr>
            </w:pPr>
            <w:r>
              <w:rPr>
                <w:rFonts w:ascii="Times New Roman" w:hAnsi="Times New Roman" w:cs="Times New Roman"/>
                <w:sz w:val="24"/>
                <w:szCs w:val="24"/>
              </w:rPr>
              <w:t>Дата та час початку голосування:</w:t>
            </w:r>
          </w:p>
        </w:tc>
        <w:tc>
          <w:tcPr>
            <w:tcW w:w="4526" w:type="dxa"/>
          </w:tcPr>
          <w:p>
            <w:pPr>
              <w:rPr>
                <w:rFonts w:ascii="Times New Roman" w:hAnsi="Times New Roman" w:cs="Times New Roman"/>
                <w:iCs w:val="1"/>
                <w:sz w:val="24"/>
                <w:szCs w:val="24"/>
                <w:lang w:val="en-US"/>
              </w:rPr>
            </w:pPr>
            <w:r>
              <w:rPr>
                <w:rFonts w:ascii="Times New Roman" w:hAnsi="Times New Roman" w:cs="Times New Roman"/>
                <w:iCs w:val="1"/>
                <w:sz w:val="24"/>
                <w:szCs w:val="24"/>
                <w:lang w:val="en-US"/>
              </w:rPr>
              <w:t>07.04.2026 13:00</w:t>
            </w:r>
          </w:p>
        </w:tc>
      </w:tr>
      <w:tr>
        <w:tc>
          <w:tcPr>
            <w:tcW w:w="5103" w:type="dxa"/>
          </w:tcPr>
          <w:p>
            <w:pPr>
              <w:rPr>
                <w:rFonts w:ascii="Times New Roman" w:hAnsi="Times New Roman" w:cs="Times New Roman"/>
                <w:sz w:val="24"/>
                <w:szCs w:val="24"/>
              </w:rPr>
            </w:pPr>
            <w:r>
              <w:rPr>
                <w:rFonts w:ascii="Times New Roman" w:hAnsi="Times New Roman" w:cs="Times New Roman"/>
                <w:sz w:val="24"/>
                <w:szCs w:val="24"/>
              </w:rPr>
              <w:t>Дата та час закінчення голосування:</w:t>
            </w:r>
          </w:p>
        </w:tc>
        <w:tc>
          <w:tcPr>
            <w:tcW w:w="4526" w:type="dxa"/>
          </w:tcPr>
          <w:p>
            <w:pPr>
              <w:rPr>
                <w:rFonts w:ascii="Times New Roman" w:hAnsi="Times New Roman" w:cs="Times New Roman"/>
                <w:iCs w:val="1"/>
                <w:sz w:val="24"/>
                <w:szCs w:val="24"/>
                <w:lang w:val="en-US"/>
              </w:rPr>
            </w:pPr>
            <w:r>
              <w:rPr>
                <w:rFonts w:ascii="Times New Roman" w:hAnsi="Times New Roman" w:cs="Times New Roman"/>
                <w:iCs w:val="1"/>
                <w:sz w:val="24"/>
                <w:szCs w:val="24"/>
                <w:lang w:val="en-US"/>
              </w:rPr>
              <w:t>07.04.2026 16:00</w:t>
            </w:r>
          </w:p>
        </w:tc>
      </w:tr>
      <w:tr>
        <w:tc>
          <w:tcPr>
            <w:tcW w:w="5103" w:type="dxa"/>
          </w:tcPr>
          <w:p>
            <w:pPr>
              <w:rPr>
                <w:rFonts w:ascii="Times New Roman" w:hAnsi="Times New Roman" w:cs="Times New Roman"/>
                <w:sz w:val="24"/>
                <w:szCs w:val="24"/>
              </w:rPr>
            </w:pPr>
          </w:p>
        </w:tc>
        <w:tc>
          <w:tcPr>
            <w:tcW w:w="4526" w:type="dxa"/>
          </w:tcPr>
          <w:p>
            <w:pPr>
              <w:rPr>
                <w:rFonts w:ascii="Times New Roman" w:hAnsi="Times New Roman" w:cs="Times New Roman"/>
                <w:i w:val="1"/>
                <w:sz w:val="24"/>
                <w:szCs w:val="24"/>
              </w:rPr>
            </w:pPr>
          </w:p>
        </w:tc>
      </w:tr>
      <w:tr>
        <w:tc>
          <w:tcPr>
            <w:tcW w:w="5103" w:type="dxa"/>
          </w:tcPr>
          <w:p>
            <w:pPr>
              <w:rPr>
                <w:rFonts w:ascii="Times New Roman" w:hAnsi="Times New Roman" w:cs="Times New Roman"/>
                <w:sz w:val="24"/>
                <w:szCs w:val="24"/>
              </w:rPr>
            </w:pPr>
            <w:r>
              <w:rPr>
                <w:rFonts w:ascii="Times New Roman" w:hAnsi="Times New Roman" w:cs="Times New Roman"/>
                <w:sz w:val="24"/>
                <w:szCs w:val="24"/>
              </w:rPr>
              <w:t>Дата та час формування авторизованою електронною системою Протоколу про результати голосування</w:t>
            </w:r>
          </w:p>
        </w:tc>
        <w:tc>
          <w:tcPr>
            <w:tcW w:w="4526" w:type="dxa"/>
          </w:tcPr>
          <w:p>
            <w:pPr>
              <w:rPr>
                <w:rFonts w:ascii="Times New Roman" w:hAnsi="Times New Roman" w:cs="Times New Roman"/>
                <w:i w:val="1"/>
                <w:sz w:val="24"/>
                <w:szCs w:val="24"/>
                <w:lang w:val="en-US"/>
              </w:rPr>
            </w:pPr>
            <w:r>
              <w:rPr>
                <w:rFonts w:ascii="Times New Roman" w:hAnsi="Times New Roman" w:cs="Times New Roman"/>
                <w:i w:val="1"/>
                <w:sz w:val="24"/>
                <w:szCs w:val="24"/>
                <w:lang w:val="en-US"/>
              </w:rPr>
              <w:t>07.04.2026 16:00:15</w:t>
            </w:r>
          </w:p>
        </w:tc>
      </w:tr>
      <w:tr>
        <w:tc>
          <w:tcPr>
            <w:tcW w:w="5103" w:type="dxa"/>
          </w:tcPr>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Вид зборів:</w:t>
            </w:r>
          </w:p>
        </w:tc>
        <w:tc>
          <w:tcPr>
            <w:tcW w:w="4526" w:type="dxa"/>
          </w:tcPr>
          <w:p>
            <w:pPr>
              <w:rPr>
                <w:rFonts w:ascii="Times New Roman" w:hAnsi="Times New Roman" w:cs="Times New Roman"/>
                <w:sz w:val="24"/>
                <w:szCs w:val="24"/>
              </w:rPr>
            </w:pPr>
          </w:p>
          <w:p>
            <w:pPr>
              <w:rPr>
                <w:rFonts w:ascii="Times New Roman" w:hAnsi="Times New Roman" w:cs="Times New Roman"/>
                <w:iCs w:val="1"/>
                <w:sz w:val="24"/>
                <w:szCs w:val="24"/>
              </w:rPr>
            </w:pPr>
            <w:r>
              <w:rPr>
                <w:rFonts w:ascii="Times New Roman" w:hAnsi="Times New Roman" w:cs="Times New Roman"/>
                <w:iCs w:val="1"/>
                <w:sz w:val="24"/>
                <w:szCs w:val="24"/>
              </w:rPr>
              <w:t>збори власників облігацій випуску</w:t>
            </w:r>
            <w:r>
              <w:rPr>
                <w:rFonts w:ascii="Times New Roman" w:hAnsi="Times New Roman" w:cs="Times New Roman"/>
                <w:iCs w:val="1"/>
                <w:sz w:val="24"/>
                <w:szCs w:val="24"/>
                <w:lang w:val="en-US"/>
              </w:rPr>
              <w:t xml:space="preserve"> </w:t>
            </w:r>
            <w:r>
              <w:rPr>
                <w:rFonts w:ascii="Times New Roman" w:hAnsi="Times New Roman" w:cs="Times New Roman"/>
                <w:iCs w:val="1"/>
                <w:sz w:val="24"/>
                <w:szCs w:val="24"/>
              </w:rPr>
              <w:t>UA5000006727</w:t>
            </w:r>
            <w:r>
              <w:rPr>
                <w:rFonts w:ascii="Times New Roman" w:hAnsi="Times New Roman" w:cs="Times New Roman"/>
                <w:iCs w:val="1"/>
                <w:sz w:val="24"/>
                <w:szCs w:val="24"/>
              </w:rPr>
              <w:t xml:space="preserve">, емітентом яких є </w:t>
            </w:r>
            <w:r>
              <w:rPr>
                <w:rFonts w:ascii="Times New Roman" w:hAnsi="Times New Roman" w:cs="Times New Roman"/>
                <w:iCs w:val="1"/>
                <w:sz w:val="24"/>
                <w:szCs w:val="24"/>
              </w:rPr>
              <w:t>ТОВАРИСТВО З ОБМЕЖЕНОЮ ВІДПОВІДАЛЬНІСТЮ "КОМПАНІ ІНВЕСТ ФІНАНС"</w:t>
            </w:r>
            <w:r>
              <w:rPr>
                <w:rFonts w:ascii="Times New Roman" w:hAnsi="Times New Roman" w:cs="Times New Roman"/>
                <w:iCs w:val="1"/>
                <w:sz w:val="24"/>
                <w:szCs w:val="24"/>
              </w:rPr>
              <w:t xml:space="preserve">, код за ЄДРПОУ емітента: </w:t>
            </w:r>
            <w:r>
              <w:rPr>
                <w:rFonts w:ascii="Times New Roman" w:hAnsi="Times New Roman" w:cs="Times New Roman"/>
                <w:iCs w:val="1"/>
                <w:sz w:val="24"/>
                <w:szCs w:val="24"/>
              </w:rPr>
              <w:t>40284315</w:t>
            </w:r>
          </w:p>
          <w:p>
            <w:pPr>
              <w:rPr>
                <w:rFonts w:ascii="Times New Roman" w:hAnsi="Times New Roman" w:cs="Times New Roman"/>
                <w:sz w:val="24"/>
                <w:szCs w:val="24"/>
              </w:rPr>
            </w:pPr>
          </w:p>
        </w:tc>
      </w:tr>
    </w:tbl>
    <w:p>
      <w:pPr>
        <w:spacing w:after="0" w:beforeAutospacing="0" w:afterAutospacing="0"/>
        <w:rPr>
          <w:rFonts w:ascii="Times New Roman" w:hAnsi="Times New Roman" w:cs="Times New Roman"/>
          <w:sz w:val="24"/>
          <w:szCs w:val="24"/>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5136" w:type="dxa"/>
            <w:hideMark/>
          </w:tcPr>
          <w:p>
            <w:pPr>
              <w:rPr>
                <w:rFonts w:ascii="Times New Roman" w:hAnsi="Times New Roman" w:cs="Times New Roman"/>
                <w:sz w:val="24"/>
                <w:szCs w:val="24"/>
              </w:rPr>
            </w:pPr>
            <w:r>
              <w:rPr>
                <w:rFonts w:ascii="Times New Roman" w:hAnsi="Times New Roman" w:cs="Times New Roman"/>
                <w:sz w:val="24"/>
                <w:szCs w:val="24"/>
              </w:rPr>
              <w:t xml:space="preserve">Інформація щодо випуску облігацій </w:t>
            </w:r>
            <w:r>
              <w:rPr>
                <w:rFonts w:ascii="Times New Roman" w:hAnsi="Times New Roman" w:cs="Times New Roman"/>
                <w:sz w:val="24"/>
                <w:szCs w:val="24"/>
              </w:rPr>
              <w:t>UA5000006727</w:t>
            </w:r>
            <w:r>
              <w:rPr>
                <w:rFonts w:ascii="Times New Roman" w:hAnsi="Times New Roman" w:cs="Times New Roman"/>
                <w:sz w:val="24"/>
                <w:szCs w:val="24"/>
              </w:rPr>
              <w:t>:</w:t>
            </w:r>
          </w:p>
        </w:tc>
        <w:tc>
          <w:tcPr>
            <w:tcW w:w="4503" w:type="dxa"/>
          </w:tcPr>
          <w:p>
            <w:pPr>
              <w:rPr>
                <w:rFonts w:ascii="Times New Roman" w:hAnsi="Times New Roman" w:cs="Times New Roman"/>
                <w:i w:val="1"/>
                <w:sz w:val="24"/>
                <w:szCs w:val="24"/>
                <w:u w:val="single"/>
              </w:rPr>
            </w:pPr>
            <w:r>
              <w:rPr>
                <w:rFonts w:ascii="Times New Roman" w:hAnsi="Times New Roman" w:cs="Times New Roman"/>
                <w:i w:val="1"/>
                <w:sz w:val="24"/>
                <w:szCs w:val="24"/>
              </w:rPr>
              <w:t>ТОВ "КОМПАНІ ІНВЕСТ ФІНАНС"</w:t>
            </w:r>
            <w:r>
              <w:rPr>
                <w:rFonts w:ascii="Times New Roman" w:hAnsi="Times New Roman" w:cs="Times New Roman"/>
                <w:i w:val="1"/>
                <w:sz w:val="24"/>
                <w:szCs w:val="24"/>
              </w:rPr>
              <w:t xml:space="preserve">,  серія </w:t>
            </w:r>
            <w:r>
              <w:rPr>
                <w:rFonts w:ascii="Times New Roman" w:hAnsi="Times New Roman" w:cs="Times New Roman"/>
                <w:i w:val="1"/>
                <w:sz w:val="24"/>
                <w:szCs w:val="24"/>
              </w:rPr>
              <w:t>A</w:t>
            </w:r>
            <w:r>
              <w:rPr>
                <w:rFonts w:ascii="Times New Roman" w:hAnsi="Times New Roman" w:cs="Times New Roman"/>
                <w:i w:val="1"/>
                <w:sz w:val="24"/>
                <w:szCs w:val="24"/>
              </w:rPr>
              <w:t xml:space="preserve">, загальна кількість ЦП у випуску: </w:t>
            </w:r>
            <w:r>
              <w:rPr>
                <w:rFonts w:ascii="Times New Roman" w:hAnsi="Times New Roman" w:cs="Times New Roman"/>
                <w:i w:val="1"/>
                <w:sz w:val="24"/>
                <w:szCs w:val="24"/>
              </w:rPr>
              <w:t>20 000</w:t>
            </w:r>
            <w:r>
              <w:rPr>
                <w:rFonts w:ascii="Times New Roman" w:hAnsi="Times New Roman" w:cs="Times New Roman"/>
                <w:i w:val="1"/>
                <w:sz w:val="24"/>
                <w:szCs w:val="24"/>
              </w:rPr>
              <w:t xml:space="preserve">, номінальна вартість 1 ЦП: </w:t>
            </w:r>
            <w:r>
              <w:rPr>
                <w:rFonts w:ascii="Times New Roman" w:hAnsi="Times New Roman" w:cs="Times New Roman"/>
                <w:i w:val="1"/>
                <w:sz w:val="24"/>
                <w:szCs w:val="24"/>
              </w:rPr>
              <w:t>1 000.00</w:t>
            </w:r>
            <w:r>
              <w:rPr>
                <w:rFonts w:ascii="Times New Roman" w:hAnsi="Times New Roman" w:cs="Times New Roman"/>
                <w:i w:val="1"/>
                <w:sz w:val="24"/>
                <w:szCs w:val="24"/>
              </w:rPr>
              <w:t xml:space="preserve"> </w:t>
            </w:r>
            <w:r>
              <w:rPr>
                <w:rFonts w:ascii="Times New Roman" w:hAnsi="Times New Roman" w:cs="Times New Roman"/>
                <w:i w:val="1"/>
                <w:sz w:val="24"/>
                <w:szCs w:val="24"/>
                <w:u w:val="single"/>
              </w:rPr>
              <w:t>UAH</w:t>
            </w:r>
          </w:p>
          <w:p>
            <w:pPr>
              <w:rPr>
                <w:rFonts w:ascii="Times New Roman" w:hAnsi="Times New Roman" w:cs="Times New Roman"/>
                <w:sz w:val="24"/>
                <w:szCs w:val="24"/>
              </w:rPr>
            </w:pPr>
            <w:r>
              <w:rPr>
                <w:rFonts w:ascii="Times New Roman" w:hAnsi="Times New Roman" w:cs="Times New Roman"/>
                <w:i w:val="1"/>
                <w:sz w:val="24"/>
                <w:szCs w:val="24"/>
                <w:u w:val="single"/>
              </w:rPr>
              <w:t xml:space="preserve"> </w:t>
            </w:r>
          </w:p>
        </w:tc>
      </w:tr>
      <w:tr>
        <w:tc>
          <w:tcPr>
            <w:tcW w:w="5136" w:type="dxa"/>
          </w:tcPr>
          <w:p>
            <w:pPr>
              <w:rPr>
                <w:rFonts w:ascii="Times New Roman" w:hAnsi="Times New Roman" w:cs="Times New Roman"/>
                <w:sz w:val="24"/>
                <w:szCs w:val="24"/>
                <w:lang w:val="ru-RU"/>
              </w:rPr>
            </w:pPr>
            <w:r>
              <w:rPr>
                <w:rFonts w:ascii="Times New Roman" w:hAnsi="Times New Roman" w:cs="Times New Roman"/>
                <w:sz w:val="24"/>
                <w:szCs w:val="24"/>
              </w:rPr>
              <w:tab/>
              <w:t>Дата складення переліку власників облігацій, які мають право на участь у зборах за випуском облігацій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UA5000006727</w:t>
            </w:r>
          </w:p>
        </w:tc>
        <w:tc>
          <w:tcPr>
            <w:tcW w:w="4503" w:type="dxa"/>
            <w:vAlign w:val="center"/>
          </w:tcPr>
          <w:p>
            <w:pPr>
              <w:rPr>
                <w:rFonts w:ascii="Times New Roman" w:hAnsi="Times New Roman" w:cs="Times New Roman"/>
                <w:i w:val="1"/>
                <w:sz w:val="24"/>
                <w:szCs w:val="24"/>
                <w:lang w:val="en-US"/>
              </w:rPr>
            </w:pPr>
            <w:r>
              <w:rPr>
                <w:rFonts w:ascii="Times New Roman" w:hAnsi="Times New Roman"/>
                <w:i w:val="1"/>
                <w:sz w:val="24"/>
                <w:lang w:val="ru-RU"/>
              </w:rPr>
              <w:t xml:space="preserve">станом на </w:t>
            </w:r>
            <w:r>
              <w:rPr>
                <w:rFonts w:ascii="Times New Roman" w:hAnsi="Times New Roman" w:cs="Times New Roman"/>
                <w:i w:val="1"/>
                <w:sz w:val="24"/>
                <w:szCs w:val="24"/>
                <w:lang w:val="en-US"/>
              </w:rPr>
              <w:t>02.04.2026</w:t>
            </w:r>
          </w:p>
        </w:tc>
      </w:tr>
      <w:tr>
        <w:tc>
          <w:tcPr>
            <w:tcW w:w="5136" w:type="dxa"/>
          </w:tcPr>
          <w:p>
            <w:pPr>
              <w:rPr>
                <w:rFonts w:ascii="Times New Roman" w:hAnsi="Times New Roman" w:cs="Times New Roman"/>
                <w:b w:val="1"/>
                <w:bCs w:val="1"/>
                <w:sz w:val="24"/>
                <w:szCs w:val="24"/>
                <w:lang w:val="ru-RU"/>
              </w:rPr>
            </w:pPr>
            <w:r>
              <w:rPr>
                <w:rFonts w:ascii="Times New Roman" w:hAnsi="Times New Roman" w:cs="Times New Roman"/>
                <w:sz w:val="24"/>
                <w:szCs w:val="24"/>
              </w:rPr>
              <w:tab/>
              <w:t xml:space="preserve">Загальна кількість осіб, включених до переліку власників облігацій, які мають право на участь у зборах за випуском облігацій </w:t>
            </w:r>
            <w:r>
              <w:rPr>
                <w:rFonts w:ascii="Times New Roman" w:hAnsi="Times New Roman" w:cs="Times New Roman"/>
                <w:sz w:val="24"/>
                <w:szCs w:val="24"/>
                <w:lang w:val="ru-RU"/>
              </w:rPr>
              <w:t>UA5000006727</w:t>
            </w:r>
          </w:p>
        </w:tc>
        <w:tc>
          <w:tcPr>
            <w:tcW w:w="4503" w:type="dxa"/>
            <w:vAlign w:val="center"/>
          </w:tcPr>
          <w:p>
            <w:pPr>
              <w:rPr>
                <w:rFonts w:ascii="Times New Roman" w:hAnsi="Times New Roman" w:cs="Times New Roman"/>
                <w:i w:val="1"/>
                <w:sz w:val="24"/>
                <w:szCs w:val="24"/>
                <w:lang w:val="en-US"/>
              </w:rPr>
            </w:pPr>
            <w:r>
              <w:rPr>
                <w:rFonts w:ascii="Times New Roman" w:hAnsi="Times New Roman" w:cs="Times New Roman"/>
                <w:i w:val="1"/>
                <w:sz w:val="24"/>
                <w:szCs w:val="24"/>
                <w:lang w:val="en-US"/>
              </w:rPr>
              <w:t>3</w:t>
            </w:r>
          </w:p>
        </w:tc>
      </w:tr>
      <w:tr>
        <w:tc>
          <w:tcPr>
            <w:tcW w:w="5136" w:type="dxa"/>
          </w:tcPr>
          <w:p>
            <w:pPr>
              <w:rPr>
                <w:rFonts w:ascii="Times New Roman" w:hAnsi="Times New Roman" w:cs="Times New Roman"/>
                <w:sz w:val="24"/>
                <w:szCs w:val="24"/>
              </w:rPr>
            </w:pPr>
            <w:r>
              <w:rPr>
                <w:rFonts w:ascii="Times New Roman" w:hAnsi="Times New Roman" w:cs="Times New Roman"/>
                <w:sz w:val="24"/>
                <w:szCs w:val="24"/>
              </w:rPr>
              <w:tab/>
              <w:t xml:space="preserve">Загальна кількості голосів за випуском облігацій </w:t>
            </w:r>
            <w:r>
              <w:rPr>
                <w:rFonts w:ascii="Times New Roman" w:hAnsi="Times New Roman" w:cs="Times New Roman"/>
                <w:sz w:val="24"/>
                <w:szCs w:val="24"/>
              </w:rPr>
              <w:t>UA5000006727</w:t>
            </w:r>
          </w:p>
        </w:tc>
        <w:tc>
          <w:tcPr>
            <w:tcW w:w="4503" w:type="dxa"/>
            <w:vAlign w:val="center"/>
          </w:tcPr>
          <w:p>
            <w:pPr>
              <w:rPr>
                <w:rFonts w:ascii="Times New Roman" w:hAnsi="Times New Roman" w:cs="Times New Roman"/>
                <w:i w:val="1"/>
                <w:sz w:val="24"/>
                <w:szCs w:val="24"/>
                <w:lang w:val="en-US"/>
              </w:rPr>
            </w:pPr>
            <w:r>
              <w:rPr>
                <w:rFonts w:ascii="Times New Roman" w:hAnsi="Times New Roman" w:cs="Times New Roman"/>
                <w:i w:val="1"/>
                <w:sz w:val="24"/>
                <w:szCs w:val="24"/>
                <w:lang w:val="en-US"/>
              </w:rPr>
              <w:t>20 000 000</w:t>
            </w:r>
          </w:p>
        </w:tc>
      </w:tr>
      <w:tr>
        <w:tc>
          <w:tcPr>
            <w:tcW w:w="5136" w:type="dxa"/>
          </w:tcPr>
          <w:p>
            <w:pPr>
              <w:rPr>
                <w:rFonts w:ascii="Times New Roman" w:hAnsi="Times New Roman" w:cs="Times New Roman"/>
                <w:sz w:val="24"/>
                <w:szCs w:val="24"/>
              </w:rPr>
            </w:pPr>
            <w:r>
              <w:rPr>
                <w:rFonts w:ascii="Times New Roman" w:hAnsi="Times New Roman" w:cs="Times New Roman"/>
                <w:sz w:val="24"/>
                <w:szCs w:val="24"/>
              </w:rPr>
              <w:tab/>
              <w:t xml:space="preserve">Загальна кількість голосів власників облігацій, які зареєструвалися для участі у зборах за випуском облігацій </w:t>
            </w:r>
            <w:r>
              <w:rPr>
                <w:rFonts w:ascii="Times New Roman" w:hAnsi="Times New Roman" w:cs="Times New Roman"/>
                <w:sz w:val="24"/>
                <w:szCs w:val="24"/>
                <w:lang w:val="ru-RU"/>
              </w:rPr>
              <w:t>UA5000006727</w:t>
            </w:r>
          </w:p>
        </w:tc>
        <w:tc>
          <w:tcPr>
            <w:tcW w:w="4503" w:type="dxa"/>
            <w:vAlign w:val="center"/>
          </w:tcPr>
          <w:p>
            <w:pPr>
              <w:rPr>
                <w:rFonts w:ascii="Times New Roman" w:hAnsi="Times New Roman" w:cs="Times New Roman"/>
                <w:i w:val="1"/>
                <w:sz w:val="24"/>
                <w:szCs w:val="24"/>
              </w:rPr>
            </w:pPr>
            <w:r>
              <w:rPr>
                <w:rFonts w:ascii="Times New Roman" w:hAnsi="Times New Roman" w:cs="Times New Roman"/>
                <w:i w:val="1"/>
                <w:sz w:val="24"/>
                <w:szCs w:val="24"/>
                <w:lang w:val="en-US"/>
              </w:rPr>
              <w:t>19 000 000</w:t>
            </w:r>
          </w:p>
        </w:tc>
      </w:tr>
      <w:tr>
        <w:tc>
          <w:tcPr>
            <w:tcW w:w="5136" w:type="dxa"/>
          </w:tcPr>
          <w:p>
            <w:pPr>
              <w:rPr>
                <w:rFonts w:ascii="Times New Roman" w:hAnsi="Times New Roman" w:cs="Times New Roman"/>
                <w:sz w:val="24"/>
                <w:szCs w:val="24"/>
              </w:rPr>
            </w:pPr>
            <w:r>
              <w:rPr>
                <w:rFonts w:ascii="Times New Roman" w:hAnsi="Times New Roman" w:cs="Times New Roman"/>
                <w:sz w:val="24"/>
                <w:szCs w:val="24"/>
              </w:rPr>
              <w:tab/>
              <w:t>Кворум</w:t>
            </w:r>
          </w:p>
        </w:tc>
        <w:tc>
          <w:tcPr>
            <w:tcW w:w="4503" w:type="dxa"/>
            <w:vAlign w:val="center"/>
          </w:tcPr>
          <w:p>
            <w:pPr>
              <w:rPr>
                <w:rFonts w:ascii="Times New Roman" w:hAnsi="Times New Roman" w:cs="Times New Roman"/>
                <w:i w:val="1"/>
                <w:sz w:val="24"/>
                <w:szCs w:val="24"/>
                <w:lang w:val="en-US"/>
              </w:rPr>
            </w:pPr>
            <w:r>
              <w:rPr>
                <w:rFonts w:ascii="Times New Roman" w:hAnsi="Times New Roman" w:cs="Times New Roman"/>
                <w:i w:val="1"/>
                <w:sz w:val="24"/>
                <w:szCs w:val="24"/>
              </w:rPr>
              <w:t>є</w:t>
            </w:r>
            <w:r>
              <w:rPr>
                <w:rFonts w:ascii="Times New Roman" w:hAnsi="Times New Roman" w:cs="Times New Roman"/>
                <w:i w:val="1"/>
                <w:sz w:val="24"/>
                <w:szCs w:val="24"/>
                <w:lang w:val="en-US"/>
              </w:rPr>
              <w:t xml:space="preserve"> </w:t>
            </w:r>
          </w:p>
        </w:tc>
      </w:tr>
    </w:tbl>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5103" w:type="dxa"/>
          </w:tcPr>
          <w:p>
            <w:pPr>
              <w:rPr>
                <w:rFonts w:ascii="Times New Roman" w:hAnsi="Times New Roman" w:cs="Times New Roman"/>
                <w:sz w:val="24"/>
                <w:szCs w:val="24"/>
                <w:lang w:val="ru-RU"/>
              </w:rPr>
            </w:pPr>
            <w:r>
              <w:rPr>
                <w:rFonts w:ascii="Times New Roman" w:hAnsi="Times New Roman" w:cs="Times New Roman"/>
                <w:sz w:val="24"/>
                <w:szCs w:val="24"/>
              </w:rPr>
              <w:t>Особа, відповідальна за проведення зборів</w:t>
            </w:r>
          </w:p>
        </w:tc>
        <w:tc>
          <w:tcPr>
            <w:tcW w:w="4526" w:type="dxa"/>
          </w:tcPr>
          <w:p>
            <w:pPr>
              <w:rPr>
                <w:rFonts w:ascii="Times New Roman" w:hAnsi="Times New Roman" w:cs="Times New Roman"/>
                <w:i w:val="1"/>
                <w:iCs w:val="1"/>
                <w:sz w:val="24"/>
                <w:szCs w:val="24"/>
              </w:rPr>
            </w:pPr>
            <w:r>
              <w:rPr>
                <w:rFonts w:ascii="Times New Roman" w:hAnsi="Times New Roman" w:cs="Times New Roman"/>
                <w:i w:val="1"/>
                <w:sz w:val="24"/>
                <w:szCs w:val="24"/>
                <w:lang w:val="en-US"/>
              </w:rPr>
              <w:t>Публічне акціонерне товариство «Національний депозитарій України»</w:t>
            </w:r>
            <w:r>
              <w:rPr>
                <w:rFonts w:ascii="Times New Roman" w:hAnsi="Times New Roman" w:cs="Times New Roman"/>
                <w:i w:val="1"/>
                <w:sz w:val="24"/>
                <w:szCs w:val="24"/>
                <w:lang w:val="en-US"/>
              </w:rPr>
              <w:t xml:space="preserve">, </w:t>
            </w:r>
            <w:r>
              <w:rPr>
                <w:rFonts w:ascii="Times New Roman" w:hAnsi="Times New Roman" w:cs="Times New Roman"/>
                <w:i w:val="1"/>
                <w:sz w:val="24"/>
                <w:szCs w:val="24"/>
                <w:lang w:val="ru-RU"/>
              </w:rPr>
              <w:t>код</w:t>
            </w:r>
            <w:r>
              <w:rPr>
                <w:rFonts w:ascii="Times New Roman" w:hAnsi="Times New Roman" w:cs="Times New Roman"/>
                <w:i w:val="1"/>
                <w:sz w:val="24"/>
                <w:szCs w:val="24"/>
                <w:lang w:val="en-US"/>
              </w:rPr>
              <w:t xml:space="preserve"> </w:t>
            </w:r>
            <w:r>
              <w:rPr>
                <w:rFonts w:ascii="Times New Roman" w:hAnsi="Times New Roman" w:cs="Times New Roman"/>
                <w:i w:val="1"/>
                <w:sz w:val="24"/>
                <w:szCs w:val="24"/>
                <w:lang w:val="ru-RU"/>
              </w:rPr>
              <w:t>за</w:t>
            </w:r>
            <w:r>
              <w:rPr>
                <w:rFonts w:ascii="Times New Roman" w:hAnsi="Times New Roman" w:cs="Times New Roman"/>
                <w:i w:val="1"/>
                <w:sz w:val="24"/>
                <w:szCs w:val="24"/>
                <w:lang w:val="en-US"/>
              </w:rPr>
              <w:t xml:space="preserve"> </w:t>
            </w:r>
            <w:r>
              <w:rPr>
                <w:rFonts w:ascii="Times New Roman" w:hAnsi="Times New Roman" w:cs="Times New Roman"/>
                <w:i w:val="1"/>
                <w:sz w:val="24"/>
                <w:szCs w:val="24"/>
                <w:lang w:val="ru-RU"/>
              </w:rPr>
              <w:t>ЄДРПОУ</w:t>
            </w:r>
            <w:r>
              <w:rPr>
                <w:rFonts w:ascii="Times New Roman" w:hAnsi="Times New Roman" w:cs="Times New Roman"/>
                <w:i w:val="1"/>
                <w:sz w:val="24"/>
                <w:szCs w:val="24"/>
                <w:lang w:val="en-US"/>
              </w:rPr>
              <w:t xml:space="preserve">: </w:t>
            </w:r>
            <w:r>
              <w:rPr>
                <w:rFonts w:ascii="Times New Roman" w:hAnsi="Times New Roman" w:cs="Times New Roman"/>
                <w:i w:val="1"/>
                <w:sz w:val="24"/>
                <w:szCs w:val="24"/>
                <w:lang w:val="en-US"/>
              </w:rPr>
              <w:t>30370711</w:t>
            </w:r>
          </w:p>
        </w:tc>
      </w:tr>
      <w:tr>
        <w:tc>
          <w:tcPr>
            <w:tcW w:w="5103" w:type="dxa"/>
          </w:tcPr>
          <w:p>
            <w:pPr>
              <w:rPr>
                <w:rFonts w:ascii="Times New Roman" w:hAnsi="Times New Roman" w:cs="Times New Roman"/>
                <w:sz w:val="24"/>
                <w:szCs w:val="24"/>
              </w:rPr>
            </w:pPr>
            <w:r>
              <w:rPr>
                <w:rFonts w:ascii="Times New Roman" w:hAnsi="Times New Roman" w:cs="Times New Roman"/>
                <w:sz w:val="24"/>
                <w:szCs w:val="24"/>
              </w:rPr>
              <w:t>Особа (особи) уповноважена взаємодіяти з авторизованою електронною системою</w:t>
            </w:r>
          </w:p>
          <w:p>
            <w:pPr>
              <w:rPr>
                <w:rFonts w:ascii="Times New Roman" w:hAnsi="Times New Roman" w:cs="Times New Roman"/>
                <w:sz w:val="24"/>
                <w:szCs w:val="24"/>
              </w:rPr>
            </w:pPr>
          </w:p>
        </w:tc>
        <w:tc>
          <w:tcPr>
            <w:tcW w:w="4526" w:type="dxa"/>
          </w:tcPr>
          <w:p>
            <w:pPr>
              <w:rPr>
                <w:rFonts w:ascii="Times New Roman" w:hAnsi="Times New Roman" w:cs="Times New Roman"/>
                <w:i w:val="1"/>
                <w:sz w:val="24"/>
                <w:szCs w:val="24"/>
                <w:lang w:val="en-US"/>
              </w:rPr>
            </w:pPr>
            <w:r>
              <w:rPr>
                <w:rFonts w:ascii="Times New Roman" w:hAnsi="Times New Roman" w:cs="Times New Roman"/>
                <w:i w:val="1"/>
                <w:sz w:val="24"/>
                <w:szCs w:val="24"/>
                <w:lang w:val="en-US"/>
              </w:rPr>
              <w:t>Сокол Вікторія Григорівна</w:t>
            </w:r>
          </w:p>
          <w:p>
            <w:pPr>
              <w:rPr>
                <w:rFonts w:ascii="Times New Roman" w:hAnsi="Times New Roman" w:cs="Times New Roman"/>
                <w:i w:val="1"/>
                <w:sz w:val="24"/>
                <w:szCs w:val="24"/>
                <w:lang w:val="en-US"/>
              </w:rPr>
            </w:pPr>
            <w:r>
              <w:rPr>
                <w:rFonts w:ascii="Times New Roman" w:hAnsi="Times New Roman" w:cs="Times New Roman"/>
                <w:i w:val="1"/>
                <w:sz w:val="24"/>
                <w:szCs w:val="24"/>
                <w:lang w:val="en-US"/>
              </w:rPr>
              <w:t>Яремійчук Іванна Степанівна</w:t>
            </w:r>
          </w:p>
        </w:tc>
      </w:tr>
    </w:tbl>
    <w:p>
      <w:pPr>
        <w:spacing w:after="0" w:beforeAutospacing="0" w:afterAutospacing="0"/>
        <w:rPr>
          <w:rFonts w:ascii="Times New Roman" w:hAnsi="Times New Roman" w:cs="Times New Roman"/>
          <w:sz w:val="24"/>
          <w:szCs w:val="24"/>
          <w:lang w:val="en-US"/>
        </w:rPr>
      </w:pPr>
    </w:p>
    <w:tbl>
      <w:tblPr>
        <w:tblStyle w:val="T2"/>
        <w:tblW w:w="0" w:type="auto"/>
        <w:tblInd w:w="-5"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29" w:type="dxa"/>
            <w:gridSpan w:val="2"/>
            <w:hideMark/>
          </w:tcPr>
          <w:p>
            <w:pPr>
              <w:rPr>
                <w:rFonts w:ascii="Times New Roman" w:hAnsi="Times New Roman" w:cs="Times New Roman"/>
                <w:sz w:val="24"/>
                <w:szCs w:val="24"/>
                <w:lang w:val="ru-RU"/>
              </w:rPr>
            </w:pPr>
            <w:r>
              <w:rPr>
                <w:rFonts w:ascii="Times New Roman" w:hAnsi="Times New Roman" w:cs="Times New Roman"/>
                <w:sz w:val="24"/>
                <w:szCs w:val="24"/>
              </w:rPr>
              <w:t>Порядок денний зборів</w:t>
            </w:r>
            <w:r>
              <w:t xml:space="preserve"> </w:t>
            </w:r>
            <w:r>
              <w:rPr>
                <w:rFonts w:ascii="Times New Roman" w:hAnsi="Times New Roman" w:cs="Times New Roman"/>
                <w:sz w:val="24"/>
                <w:szCs w:val="24"/>
              </w:rPr>
              <w:t>власників облігацій:</w:t>
            </w:r>
          </w:p>
        </w:tc>
      </w:tr>
      <w:tr>
        <w:tc>
          <w:tcPr>
            <w:tcW w:w="1423" w:type="dxa"/>
          </w:tcPr>
          <w:p>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206" w:type="dxa"/>
          </w:tcPr>
          <w:p>
            <w:pPr>
              <w:widowControl w:val="1"/>
              <w:spacing w:before="240" w:after="240"/>
            </w:pPr>
            <w:r>
              <w:t>Надання згоди на внесення емітентом змін до Рішення про емісію в частині документа про цінні папери.</w:t>
            </w:r>
          </w:p>
          <w:p>
            <w:pPr>
              <w:rPr>
                <w:rFonts w:ascii="Times New Roman" w:hAnsi="Times New Roman" w:cs="Times New Roman"/>
                <w:sz w:val="24"/>
                <w:szCs w:val="24"/>
                <w:lang w:val="ru-RU"/>
              </w:rPr>
            </w:pPr>
          </w:p>
        </w:tc>
      </w:tr>
      <w:tr>
        <w:tc>
          <w:tcPr>
            <w:tcW w:w="1423" w:type="dxa"/>
          </w:tcPr>
          <w:p>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206" w:type="dxa"/>
          </w:tcPr>
          <w:p>
            <w:pPr>
              <w:widowControl w:val="1"/>
              <w:spacing w:before="240" w:after="240"/>
            </w:pPr>
            <w:r>
              <w:t>Надання згоди на внесення емітентом змін та/або доповнень до Рішення про емісію в частині документа про цінні папери.</w:t>
            </w:r>
          </w:p>
          <w:p>
            <w:pPr>
              <w:widowControl w:val="1"/>
              <w:spacing w:before="240" w:after="240"/>
            </w:pPr>
          </w:p>
        </w:tc>
      </w:tr>
    </w:tbl>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lang w:val="en-US"/>
        </w:rPr>
      </w:pPr>
    </w:p>
    <w:p>
      <w:pPr>
        <w:ind w:firstLine="318"/>
        <w:rPr>
          <w:rFonts w:ascii="Times New Roman" w:hAnsi="Times New Roman" w:cs="Times New Roman"/>
          <w:b w:val="1"/>
          <w:sz w:val="28"/>
          <w:szCs w:val="24"/>
        </w:rPr>
      </w:pPr>
      <w:r>
        <w:rPr>
          <w:rFonts w:ascii="Times New Roman" w:hAnsi="Times New Roman" w:cs="Times New Roman"/>
          <w:b w:val="1"/>
          <w:sz w:val="28"/>
          <w:szCs w:val="24"/>
        </w:rPr>
        <w:t>Підсумки голосування з питань порядку денного зборів власників облігацій:</w:t>
      </w:r>
    </w:p>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lang w:val="en-US"/>
        </w:rPr>
      </w:pPr>
    </w:p>
    <w:p>
      <w:pPr>
        <w:spacing w:after="0" w:beforeAutospacing="0" w:afterAutospacing="0"/>
        <w:rPr>
          <w:rFonts w:ascii="Times New Roman" w:hAnsi="Times New Roman" w:cs="Times New Roman"/>
          <w:sz w:val="24"/>
          <w:szCs w:val="24"/>
          <w:lang w:val="en-US"/>
        </w:rPr>
      </w:pPr>
    </w:p>
    <w:tbl>
      <w:tblPr>
        <w:tblStyle w:val="T2"/>
        <w:tblW w:w="963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34" w:type="dxa"/>
          </w:tcPr>
          <w:p>
            <w:pPr>
              <w:rPr>
                <w:rFonts w:ascii="Times New Roman" w:hAnsi="Times New Roman" w:cs="Times New Roman"/>
                <w:b w:val="1"/>
                <w:sz w:val="24"/>
                <w:szCs w:val="24"/>
                <w:lang w:val="en-US"/>
              </w:rPr>
            </w:pPr>
            <w:r>
              <w:rPr>
                <w:rFonts w:ascii="Times New Roman" w:hAnsi="Times New Roman" w:cs="Times New Roman"/>
                <w:b w:val="1"/>
                <w:sz w:val="24"/>
                <w:szCs w:val="24"/>
              </w:rPr>
              <w:t xml:space="preserve">Питання: </w:t>
            </w:r>
            <w:r>
              <w:rPr>
                <w:rFonts w:ascii="Times New Roman" w:hAnsi="Times New Roman" w:cs="Times New Roman"/>
                <w:b w:val="1"/>
                <w:sz w:val="24"/>
                <w:szCs w:val="24"/>
                <w:lang w:val="en-US"/>
              </w:rPr>
              <w:t>1</w:t>
            </w:r>
            <w:r>
              <w:rPr>
                <w:rFonts w:ascii="Times New Roman" w:hAnsi="Times New Roman" w:cs="Times New Roman"/>
                <w:b w:val="1"/>
                <w:sz w:val="24"/>
                <w:szCs w:val="24"/>
                <w:lang w:val="en-US"/>
              </w:rPr>
              <w:t>.</w:t>
            </w:r>
          </w:p>
        </w:tc>
      </w:tr>
      <w:tr>
        <w:tc>
          <w:tcPr>
            <w:tcW w:w="9634" w:type="dxa"/>
          </w:tcPr>
          <w:p>
            <w:pPr>
              <w:widowControl w:val="1"/>
              <w:spacing w:before="240" w:after="240"/>
            </w:pPr>
            <w:r>
              <w:t>Надання згоди на внесення емітентом змін до Рішення про емісію в частині документа про цінні папери.</w:t>
            </w:r>
          </w:p>
          <w:p>
            <w:pPr>
              <w:rPr>
                <w:rFonts w:ascii="Times New Roman" w:hAnsi="Times New Roman" w:cs="Times New Roman"/>
                <w:bCs w:val="1"/>
                <w:sz w:val="24"/>
                <w:szCs w:val="24"/>
              </w:rPr>
            </w:pPr>
          </w:p>
          <w:p>
            <w:pPr>
              <w:rPr>
                <w:rFonts w:ascii="Times New Roman" w:hAnsi="Times New Roman" w:cs="Times New Roman"/>
                <w:bCs w:val="1"/>
                <w:sz w:val="24"/>
                <w:szCs w:val="24"/>
                <w:lang w:val="en-US"/>
              </w:rPr>
            </w:pPr>
          </w:p>
        </w:tc>
      </w:tr>
    </w:tbl>
    <w:p>
      <w:pPr>
        <w:spacing w:after="0" w:beforeAutospacing="0" w:afterAutospacing="0"/>
        <w:rPr>
          <w:rFonts w:ascii="Times New Roman" w:hAnsi="Times New Roman" w:cs="Times New Roman"/>
          <w:sz w:val="24"/>
          <w:szCs w:val="24"/>
          <w:lang w:val="en-US"/>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29" w:type="dxa"/>
          </w:tcPr>
          <w:p>
            <w:pPr>
              <w:rPr>
                <w:rFonts w:ascii="Times New Roman" w:hAnsi="Times New Roman" w:cs="Times New Roman"/>
                <w:sz w:val="24"/>
                <w:szCs w:val="24"/>
                <w:lang w:val="en-US"/>
              </w:rPr>
            </w:pPr>
            <w:r>
              <w:rPr>
                <w:rFonts w:ascii="Times New Roman" w:hAnsi="Times New Roman" w:cs="Times New Roman"/>
                <w:bCs w:val="1"/>
                <w:sz w:val="24"/>
                <w:szCs w:val="24"/>
              </w:rPr>
              <w:t xml:space="preserve">Проект рішення: </w:t>
            </w:r>
            <w:r>
              <w:rPr>
                <w:rFonts w:ascii="Times New Roman" w:hAnsi="Times New Roman" w:cs="Times New Roman"/>
                <w:bCs w:val="1"/>
                <w:sz w:val="24"/>
                <w:szCs w:val="24"/>
                <w:lang w:val="en-US"/>
              </w:rPr>
              <w:t>1</w:t>
            </w:r>
            <w:r>
              <w:rPr>
                <w:rFonts w:ascii="Times New Roman" w:hAnsi="Times New Roman" w:cs="Times New Roman"/>
                <w:bCs w:val="1"/>
                <w:sz w:val="24"/>
                <w:szCs w:val="24"/>
              </w:rPr>
              <w:t>.</w:t>
            </w:r>
          </w:p>
        </w:tc>
      </w:tr>
      <w:tr>
        <w:tc>
          <w:tcPr>
            <w:tcW w:w="9629" w:type="dxa"/>
          </w:tcPr>
          <w:p>
            <w:pPr>
              <w:widowControl w:val="1"/>
              <w:spacing w:before="240" w:after="240"/>
            </w:pPr>
            <w:r>
              <w:t>«Надати згоду на внесення ТОВАРИСТВОМ З ОБМЕЖЕНОЮ ВІДПОВІДАЛЬНІСТЮ «КОМПАНІ ІНВЕСТ ФІНАНС» змін до Рішення про емісію корпоративних облігацій, затвердженого рішенням Загальних зборів учасників ТОВ «КОМПАНІ ІНВЕСТ ФІНАНС» (до зміни найменування - ТОВ «ФІНАНСОВА КОМПАНІЯ «ІНВЕСТ ФІНАНС»), оформленого протоколом №01/02/2021 від 01.02.2021 року, в частині документа про цінні папери, а саме:</w:t>
            </w:r>
          </w:p>
          <w:p>
            <w:pPr>
              <w:widowControl w:val="1"/>
              <w:spacing w:before="240" w:after="240"/>
            </w:pPr>
            <w:r>
              <w:t>1. змінити умови та дату закінчення обігу облігацій - обіг облігацій триває до 14.05.2031 року.</w:t>
            </w:r>
          </w:p>
          <w:p>
            <w:pPr>
              <w:widowControl w:val="1"/>
              <w:spacing w:before="240" w:after="240"/>
            </w:pPr>
            <w:r>
              <w:t>2. змінити інформацію щодо викупу емітентом облігацій:</w:t>
            </w:r>
          </w:p>
          <w:p>
            <w:pPr>
              <w:widowControl w:val="1"/>
              <w:spacing w:before="240" w:after="240"/>
            </w:pPr>
            <w:r>
              <w:t>2.1. порядок повідомлення власників облігацій про здійснення викупу облігацій – </w:t>
            </w:r>
          </w:p>
          <w:p>
            <w:pPr>
              <w:widowControl w:val="1"/>
              <w:spacing w:before="240" w:after="240"/>
            </w:pPr>
            <w:r>
              <w:t>Окрім викупу облігацій за згодою власника облігацій та Емітента, Емітент зобов’язаний здійснити обов’язковий викуп облігацій в порядку, зазначеному нижче. </w:t>
            </w:r>
          </w:p>
          <w:p>
            <w:pPr>
              <w:widowControl w:val="1"/>
              <w:spacing w:before="240" w:after="240"/>
            </w:pPr>
            <w:r>
              <w:t>Керівник Емітента забезпечує повідомлення власників облігацій про строки та порядок здійснення обов’язкового викупу облігацій шляхом оприлюднення такого повідомлення на веб сайті Емітента. В Рішенні про емісію зазначені строки, у які облігації можуть бути пред'явлені їх власниками для викупу протягом усього строку обігу облігацій.</w:t>
            </w:r>
          </w:p>
          <w:p>
            <w:pPr>
              <w:widowControl w:val="1"/>
              <w:spacing w:before="240" w:after="240"/>
            </w:pPr>
            <w:r>
              <w:t>Обов’язковий викуп облігацій здійснюється виключно у строки вказані у Рішенні про емісію у строках, у які облігації можуть бути пред'явлені їх власниками для викупу.</w:t>
            </w:r>
          </w:p>
          <w:p>
            <w:pPr>
              <w:widowControl w:val="1"/>
              <w:spacing w:before="240" w:after="240"/>
            </w:pPr>
            <w:r>
              <w:t>Для здійснення Емітентом обов’язкового викупу власник облігацій або належним чином уповноважена ним особа (далі - продавець) надає до Емітента повідомлення про намір здійснити продаж облігацій у строки, у які облігації можуть бути пред'явлені їх власниками для викупу. </w:t>
            </w:r>
          </w:p>
          <w:p>
            <w:pPr>
              <w:widowControl w:val="1"/>
              <w:spacing w:before="240" w:after="240"/>
            </w:pPr>
            <w:r>
              <w:t>Повідомлення про обов’язковий викуп облігацій надсилається до Емітента за його місцезнаходженням: Україна, 04215, місто Київ, вул. Світлицького, будинок 35, приміщення 108/4, офіс 3, засобами поштового зв’язку. </w:t>
            </w:r>
          </w:p>
          <w:p>
            <w:pPr>
              <w:widowControl w:val="1"/>
              <w:spacing w:before="240" w:after="240"/>
            </w:pPr>
            <w:r>
              <w:t>Обов'язковий викуп Емітентом проходить без застосування принципу «поставка проти оплати».</w:t>
            </w:r>
          </w:p>
          <w:p>
            <w:pPr>
              <w:widowControl w:val="1"/>
              <w:spacing w:before="240" w:after="240"/>
            </w:pPr>
            <w:r>
              <w:t>Протягом 5 (п’яти) робочих днів, що передують даті початку викупу, відповідно до строків, у які облігації можуть бути пред'явлені їх власниками для викупу, Емітент укладає угоди купівлі-продажу облігацій із продавцями, що належним чином подали повідомлення про намір здійснити продаж облігацій.</w:t>
            </w:r>
          </w:p>
          <w:p>
            <w:pPr>
              <w:widowControl w:val="1"/>
              <w:spacing w:before="240" w:after="240"/>
            </w:pPr>
            <w:r>
              <w:t>Якщо дата викупу облігацій припадає на святковий (вихідний) день згідно чинному законодавству України, викуп здійснюється у відповідний термін, починаючи з наступного за святковим (вихідним) робочим днем.</w:t>
            </w:r>
          </w:p>
          <w:p>
            <w:pPr>
              <w:widowControl w:val="1"/>
              <w:spacing w:before="240" w:after="240"/>
            </w:pPr>
            <w:r>
              <w:t>На дату початку здійснення викупу облігацій продавець перераховує облігації в обумовленій кількості, на рахунок Емітента в депозитарії, після чого Емітент у дати викупу, вказані у строках, у які облігації можуть бути пред'явлені їх власниками для викупу, виплачує продавцю грошові кошти.</w:t>
            </w:r>
          </w:p>
          <w:p>
            <w:pPr>
              <w:widowControl w:val="1"/>
              <w:spacing w:before="240" w:after="240"/>
            </w:pPr>
            <w:r>
              <w:t>Якщо власник облігацій не перерахував протягом терміну викупу належні йому облігації зі свого рахунку у цінних паперах на рахунок емітента в депозитарії, або якщо наданий депозитарієм зведений обліковий реєстр не містить рахунку власника облігацій, на який повинна бути проведена оплата, кошти, що підлягають виплаті депонуються до особистого письмового звернення власника облігацій. На депоновані кошти відсотки не нараховуються. </w:t>
            </w:r>
          </w:p>
          <w:p>
            <w:pPr>
              <w:widowControl w:val="1"/>
              <w:spacing w:before="240" w:after="240"/>
            </w:pPr>
            <w:r>
              <w:t>Повідомлення, подані до або після періоду, вказаного у строках, у які облігації можуть бути пред'явлені їх власниками для викупу, вважаються недійсними.</w:t>
            </w:r>
          </w:p>
          <w:p>
            <w:pPr>
              <w:widowControl w:val="1"/>
              <w:spacing w:before="240" w:after="240"/>
            </w:pPr>
            <w:r>
              <w:t>2.2. доповнити порядок встановлення ціни викупу облігацій положеннями наступного змісту - Ціна обов'язкового викупу облігацій дорівнює номінальній вартості облігацій - 1000 (одна тисяча) гривень.</w:t>
            </w:r>
          </w:p>
          <w:p>
            <w:pPr>
              <w:widowControl w:val="1"/>
              <w:spacing w:before="240" w:after="240"/>
            </w:pPr>
            <w:r>
              <w:t>2.3. встановити строк, у який облігації можуть бути пред'явлені їх власниками для викупу - </w:t>
            </w:r>
          </w:p>
          <w:tbl>
            <w:tblPr>
              <w:tblW w:w="0" w:type="auto"/>
              <w:tblCellSpacing w:w="15" w:type="dxa"/>
              <w:tblInd w:w="0" w:type="dxa"/>
              <w:tblBorders>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початку прийому повідомлень</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закінчення прийому повідомлень</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початку викупу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закінчення викупу</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03.05.2027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07.05.2027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21.05.2027</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08.05.2028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12.05.2028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26.05.2028</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07.05.2029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11.05.2029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25.05.2029</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06.05.2030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10.05.2030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24.05.2030</w:t>
                  </w:r>
                </w:p>
              </w:tc>
            </w:tr>
          </w:tbl>
          <w:p>
            <w:pPr>
              <w:widowControl w:val="1"/>
              <w:spacing w:before="240" w:after="240"/>
            </w:pPr>
            <w:r>
              <w:t>3. змінити порядок виплати відсоткового доходу за облігаціями:</w:t>
            </w:r>
          </w:p>
          <w:p>
            <w:pPr>
              <w:widowControl w:val="1"/>
              <w:spacing w:before="240" w:after="240"/>
            </w:pPr>
            <w:r>
              <w:t>3.1. встановити наступні дати початку і закінчення виплати доходу за облігаціями:</w:t>
            </w:r>
          </w:p>
          <w:tbl>
            <w:tblPr>
              <w:tblW w:w="0" w:type="auto"/>
              <w:tblCellSpacing w:w="15" w:type="dxa"/>
              <w:tblInd w:w="0" w:type="dxa"/>
              <w:tblBorders>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Номер відсоткового періоду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початку відсоткового періоду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закінчення відсоткового періоду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spacing w:before="240" w:after="240"/>
                  </w:pPr>
                  <w:r>
                    <w:t>Дата початку виплати</w:t>
                  </w:r>
                </w:p>
                <w:p>
                  <w:pPr>
                    <w:widowControl w:val="1"/>
                    <w:spacing w:before="240" w:after="240"/>
                  </w:pPr>
                  <w:r>
                    <w:t>відсоткового доходу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spacing w:before="240" w:after="240"/>
                  </w:pPr>
                  <w:r>
                    <w:t>Дата</w:t>
                  </w:r>
                </w:p>
                <w:p>
                  <w:pPr>
                    <w:widowControl w:val="1"/>
                    <w:spacing w:before="240" w:after="240"/>
                  </w:pPr>
                  <w:r>
                    <w:t>закінчення виплати відсоткового доходу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Тривалість періоду, днів </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4.</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5.</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12.</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12.02.2031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14.05.2031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15.05.2031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bl>
          <w:p>
            <w:pPr>
              <w:widowControl w:val="1"/>
              <w:spacing w:before="240" w:after="240"/>
            </w:pPr>
            <w:r>
              <w:t>3.2. встановити що:</w:t>
            </w:r>
          </w:p>
          <w:p>
            <w:pPr>
              <w:widowControl w:val="1"/>
              <w:spacing w:before="240" w:after="240"/>
            </w:pPr>
            <w:r>
              <w:t>Відсоткові ставки на 1-4, 5-8, 9-12, 13-16, 17-20 відсоткові періоди встановлюється за рішенням Загальних зборів Учасників Товариства, виходячи з ринкової кон'юнктури, але не може бути меншою, ніж ½ облікової ставки Національного банку України та не може бути більшою, ніж 30% (тридцять) відсотків річних.</w:t>
            </w:r>
          </w:p>
          <w:p>
            <w:pPr>
              <w:widowControl w:val="1"/>
              <w:spacing w:before="240" w:after="240"/>
            </w:pPr>
            <w:r>
              <w:t>4. Змінити порядок погашення облігацій в частині дати початку і закінчення погашення облігацій – </w:t>
            </w:r>
          </w:p>
          <w:p>
            <w:pPr>
              <w:widowControl w:val="1"/>
              <w:spacing w:before="240" w:after="240"/>
            </w:pPr>
            <w:r>
              <w:t>Дата початку погашення облігацій серії А: 15.05.2031 року.</w:t>
            </w:r>
          </w:p>
          <w:p>
            <w:pPr>
              <w:widowControl w:val="1"/>
              <w:spacing w:before="240" w:after="240"/>
            </w:pPr>
            <w:r>
              <w:t>Дата закінчення погашення облігацій серії А: 23.05.2031 року.».</w:t>
            </w:r>
          </w:p>
          <w:p>
            <w:pPr>
              <w:rPr>
                <w:rFonts w:ascii="Times New Roman" w:hAnsi="Times New Roman" w:cs="Times New Roman"/>
                <w:sz w:val="24"/>
                <w:szCs w:val="24"/>
                <w:lang w:val="en-US"/>
              </w:rPr>
            </w:pPr>
          </w:p>
        </w:tc>
      </w:tr>
      <w:tr>
        <w:tc>
          <w:tcPr>
            <w:tcW w:w="9629" w:type="dxa"/>
          </w:tcPr>
          <w:p>
            <w:pPr>
              <w:rPr>
                <w:rFonts w:ascii="Times New Roman" w:hAnsi="Times New Roman" w:cs="Times New Roman"/>
                <w:bCs w:val="1"/>
                <w:sz w:val="24"/>
                <w:szCs w:val="24"/>
                <w:lang w:val="ru-RU"/>
              </w:rPr>
            </w:pPr>
            <w:r>
              <w:rPr>
                <w:rFonts w:ascii="Times New Roman" w:hAnsi="Times New Roman" w:cs="Times New Roman"/>
                <w:bCs w:val="1"/>
                <w:sz w:val="24"/>
                <w:szCs w:val="24"/>
              </w:rPr>
              <w:tab/>
              <w:t>Результати голосування</w:t>
            </w:r>
            <w:r>
              <w:rPr>
                <w:rFonts w:ascii="Times New Roman" w:hAnsi="Times New Roman" w:cs="Times New Roman"/>
                <w:bCs w:val="1"/>
                <w:sz w:val="24"/>
                <w:szCs w:val="24"/>
                <w:lang w:val="ru-RU"/>
              </w:rPr>
              <w:t xml:space="preserve"> за</w:t>
            </w:r>
            <w:r>
              <w:rPr>
                <w:bCs w:val="1"/>
              </w:rPr>
              <w:t xml:space="preserve"> </w:t>
            </w:r>
            <w:r>
              <w:rPr>
                <w:rFonts w:ascii="Times New Roman" w:hAnsi="Times New Roman" w:cs="Times New Roman"/>
                <w:bCs w:val="1"/>
                <w:sz w:val="24"/>
                <w:szCs w:val="24"/>
                <w:lang w:val="ru-RU"/>
              </w:rPr>
              <w:t xml:space="preserve">випуском </w:t>
            </w:r>
            <w:r>
              <w:rPr>
                <w:rFonts w:ascii="Times New Roman" w:hAnsi="Times New Roman" w:cs="Times New Roman"/>
                <w:bCs w:val="1"/>
                <w:sz w:val="24"/>
                <w:szCs w:val="24"/>
                <w:lang w:val="ru-RU"/>
              </w:rPr>
              <w:t>UA5000006727</w:t>
            </w:r>
          </w:p>
          <w:p>
            <w:pPr>
              <w:rPr>
                <w:rFonts w:ascii="Times New Roman" w:hAnsi="Times New Roman" w:cs="Times New Roman"/>
                <w:bCs w:val="1"/>
                <w:sz w:val="24"/>
                <w:szCs w:val="24"/>
              </w:rPr>
            </w:pPr>
            <w:r>
              <w:rPr>
                <w:rFonts w:ascii="Times New Roman" w:hAnsi="Times New Roman" w:cs="Times New Roman"/>
                <w:bCs w:val="1"/>
                <w:sz w:val="24"/>
                <w:szCs w:val="24"/>
              </w:rPr>
              <w:tab/>
              <w:t xml:space="preserve">Кількість голосів «ЗА»: </w:t>
            </w:r>
            <w:r>
              <w:rPr>
                <w:rFonts w:ascii="Times New Roman" w:hAnsi="Times New Roman" w:cs="Times New Roman"/>
                <w:bCs w:val="1"/>
                <w:sz w:val="24"/>
                <w:szCs w:val="24"/>
              </w:rPr>
              <w:t>0</w:t>
            </w:r>
            <w:r>
              <w:rPr>
                <w:rFonts w:ascii="Times New Roman" w:hAnsi="Times New Roman" w:cs="Times New Roman"/>
                <w:bCs w:val="1"/>
                <w:sz w:val="24"/>
                <w:szCs w:val="24"/>
              </w:rPr>
              <w:t xml:space="preserve">, що складає </w:t>
            </w:r>
            <w:r>
              <w:rPr>
                <w:rFonts w:ascii="Times New Roman" w:hAnsi="Times New Roman" w:cs="Times New Roman"/>
                <w:bCs w:val="1"/>
                <w:sz w:val="24"/>
                <w:szCs w:val="24"/>
              </w:rPr>
              <w:t>0,00</w:t>
            </w:r>
            <w:r>
              <w:rPr>
                <w:rFonts w:ascii="Times New Roman" w:hAnsi="Times New Roman" w:cs="Times New Roman"/>
                <w:bCs w:val="1"/>
                <w:sz w:val="24"/>
                <w:szCs w:val="24"/>
              </w:rPr>
              <w:t>%;</w:t>
            </w:r>
          </w:p>
          <w:p>
            <w:pPr>
              <w:rPr>
                <w:rFonts w:ascii="Times New Roman" w:hAnsi="Times New Roman" w:cs="Times New Roman"/>
                <w:bCs w:val="1"/>
                <w:sz w:val="24"/>
                <w:szCs w:val="24"/>
              </w:rPr>
            </w:pPr>
            <w:r>
              <w:rPr>
                <w:rFonts w:ascii="Times New Roman" w:hAnsi="Times New Roman" w:cs="Times New Roman"/>
                <w:bCs w:val="1"/>
                <w:sz w:val="24"/>
                <w:szCs w:val="24"/>
              </w:rPr>
              <w:tab/>
              <w:t xml:space="preserve">Кількість голосів «ПРОТИ»: </w:t>
            </w:r>
            <w:r>
              <w:rPr>
                <w:rFonts w:ascii="Times New Roman" w:hAnsi="Times New Roman" w:cs="Times New Roman"/>
                <w:bCs w:val="1"/>
                <w:sz w:val="24"/>
                <w:szCs w:val="24"/>
              </w:rPr>
              <w:t>19 000 000</w:t>
            </w:r>
            <w:r>
              <w:rPr>
                <w:rFonts w:ascii="Times New Roman" w:hAnsi="Times New Roman" w:cs="Times New Roman"/>
                <w:bCs w:val="1"/>
                <w:sz w:val="24"/>
                <w:szCs w:val="24"/>
              </w:rPr>
              <w:t xml:space="preserve">, що складає </w:t>
            </w:r>
            <w:r>
              <w:rPr>
                <w:rFonts w:ascii="Times New Roman" w:hAnsi="Times New Roman" w:cs="Times New Roman"/>
                <w:bCs w:val="1"/>
                <w:sz w:val="24"/>
                <w:szCs w:val="24"/>
              </w:rPr>
              <w:t>100,00</w:t>
            </w:r>
            <w:r>
              <w:rPr>
                <w:rFonts w:ascii="Times New Roman" w:hAnsi="Times New Roman" w:cs="Times New Roman"/>
                <w:bCs w:val="1"/>
                <w:sz w:val="24"/>
                <w:szCs w:val="24"/>
              </w:rPr>
              <w:t>%;</w:t>
            </w:r>
          </w:p>
          <w:p>
            <w:pPr>
              <w:rPr>
                <w:rFonts w:ascii="Times New Roman" w:hAnsi="Times New Roman" w:cs="Times New Roman"/>
                <w:bCs w:val="1"/>
                <w:sz w:val="24"/>
                <w:szCs w:val="24"/>
              </w:rPr>
            </w:pPr>
            <w:r>
              <w:rPr>
                <w:rFonts w:ascii="Times New Roman" w:hAnsi="Times New Roman" w:cs="Times New Roman"/>
                <w:bCs w:val="1"/>
                <w:sz w:val="24"/>
                <w:szCs w:val="24"/>
              </w:rPr>
              <w:tab/>
              <w:t xml:space="preserve">Кількість голосів власників, що зареєструвалися, але не направили голоси: </w:t>
            </w:r>
            <w:r>
              <w:rPr>
                <w:rFonts w:ascii="Times New Roman" w:hAnsi="Times New Roman" w:cs="Times New Roman"/>
                <w:bCs w:val="1"/>
                <w:sz w:val="24"/>
                <w:szCs w:val="24"/>
                <w:lang w:val="ru-RU"/>
              </w:rPr>
              <w:t>0</w:t>
            </w:r>
            <w:r>
              <w:rPr>
                <w:rFonts w:ascii="Times New Roman" w:hAnsi="Times New Roman" w:cs="Times New Roman"/>
                <w:bCs w:val="1"/>
                <w:sz w:val="24"/>
                <w:szCs w:val="24"/>
              </w:rPr>
              <w:t>.</w:t>
            </w:r>
          </w:p>
          <w:p>
            <w:pPr>
              <w:widowControl w:val="1"/>
              <w:spacing w:before="240" w:after="240"/>
            </w:pPr>
            <w:r>
              <w:rPr>
                <w:rFonts w:ascii="Times New Roman" w:hAnsi="Times New Roman" w:cs="Times New Roman"/>
                <w:bCs w:val="1"/>
                <w:sz w:val="24"/>
                <w:szCs w:val="24"/>
              </w:rPr>
              <w:tab/>
              <w:t xml:space="preserve">Результат: </w:t>
            </w:r>
            <w:r>
              <w:rPr>
                <w:rFonts w:ascii="Times New Roman" w:hAnsi="Times New Roman" w:cs="Times New Roman"/>
                <w:bCs w:val="1"/>
                <w:sz w:val="24"/>
                <w:szCs w:val="24"/>
                <w:lang w:val="en-US"/>
              </w:rPr>
              <w:t>Не прийнято</w:t>
            </w:r>
          </w:p>
        </w:tc>
      </w:tr>
    </w:tbl>
    <w:p>
      <w:pPr>
        <w:spacing w:after="0" w:beforeAutospacing="0" w:afterAutospacing="0"/>
        <w:rPr>
          <w:rFonts w:ascii="Times New Roman" w:hAnsi="Times New Roman" w:cs="Times New Roman"/>
          <w:sz w:val="24"/>
          <w:szCs w:val="24"/>
          <w:lang w:val="en-US"/>
        </w:rPr>
      </w:pPr>
    </w:p>
    <w:tbl>
      <w:tblPr>
        <w:tblStyle w:val="T2"/>
        <w:tblW w:w="963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34" w:type="dxa"/>
          </w:tcPr>
          <w:p>
            <w:pPr>
              <w:rPr>
                <w:rFonts w:ascii="Times New Roman" w:hAnsi="Times New Roman" w:cs="Times New Roman"/>
                <w:bCs w:val="1"/>
                <w:sz w:val="24"/>
                <w:szCs w:val="24"/>
                <w:lang w:val="en-US"/>
              </w:rPr>
            </w:pPr>
            <w:r>
              <w:rPr>
                <w:rFonts w:ascii="Times New Roman" w:hAnsi="Times New Roman" w:cs="Times New Roman"/>
                <w:bCs w:val="1"/>
                <w:sz w:val="24"/>
                <w:szCs w:val="24"/>
                <w:lang w:val="en-US"/>
              </w:rPr>
              <w:t>РІШЕННЯ НЕ ПРИЙНЯТО</w:t>
            </w:r>
          </w:p>
        </w:tc>
      </w:tr>
    </w:tbl>
    <w:p>
      <w:pPr>
        <w:spacing w:after="0" w:beforeAutospacing="0" w:afterAutospacing="0"/>
        <w:rPr>
          <w:rFonts w:ascii="Times New Roman" w:hAnsi="Times New Roman" w:cs="Times New Roman"/>
          <w:sz w:val="24"/>
          <w:szCs w:val="24"/>
          <w:lang w:val="en-US"/>
        </w:rPr>
      </w:pPr>
    </w:p>
    <w:p>
      <w:pPr>
        <w:spacing w:after="0" w:beforeAutospacing="0" w:afterAutospacing="0"/>
        <w:rPr>
          <w:rFonts w:ascii="Times New Roman" w:hAnsi="Times New Roman" w:cs="Times New Roman"/>
          <w:sz w:val="24"/>
          <w:szCs w:val="24"/>
          <w:lang w:val="en-US"/>
        </w:rPr>
      </w:pPr>
    </w:p>
    <w:tbl>
      <w:tblPr>
        <w:tblStyle w:val="T2"/>
        <w:tblW w:w="963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34" w:type="dxa"/>
          </w:tcPr>
          <w:p>
            <w:pPr>
              <w:rPr>
                <w:rFonts w:ascii="Times New Roman" w:hAnsi="Times New Roman" w:cs="Times New Roman"/>
                <w:b w:val="1"/>
                <w:sz w:val="24"/>
                <w:szCs w:val="24"/>
                <w:lang w:val="en-US"/>
              </w:rPr>
            </w:pPr>
            <w:r>
              <w:rPr>
                <w:rFonts w:ascii="Times New Roman" w:hAnsi="Times New Roman" w:cs="Times New Roman"/>
                <w:b w:val="1"/>
                <w:sz w:val="24"/>
                <w:szCs w:val="24"/>
              </w:rPr>
              <w:t xml:space="preserve">Питання: </w:t>
            </w:r>
            <w:r>
              <w:rPr>
                <w:rFonts w:ascii="Times New Roman" w:hAnsi="Times New Roman" w:cs="Times New Roman"/>
                <w:b w:val="1"/>
                <w:sz w:val="24"/>
                <w:szCs w:val="24"/>
                <w:lang w:val="en-US"/>
              </w:rPr>
              <w:t>2</w:t>
            </w:r>
            <w:r>
              <w:rPr>
                <w:rFonts w:ascii="Times New Roman" w:hAnsi="Times New Roman" w:cs="Times New Roman"/>
                <w:b w:val="1"/>
                <w:sz w:val="24"/>
                <w:szCs w:val="24"/>
                <w:lang w:val="en-US"/>
              </w:rPr>
              <w:t>.</w:t>
            </w:r>
          </w:p>
        </w:tc>
      </w:tr>
      <w:tr>
        <w:tc>
          <w:tcPr>
            <w:tcW w:w="9634" w:type="dxa"/>
          </w:tcPr>
          <w:p>
            <w:pPr>
              <w:widowControl w:val="1"/>
              <w:spacing w:before="240" w:after="240"/>
            </w:pPr>
            <w:r>
              <w:t>Надання згоди на внесення емітентом змін та/або доповнень до Рішення про емісію в частині документа про цінні папери.</w:t>
            </w:r>
          </w:p>
          <w:p>
            <w:pPr>
              <w:rPr>
                <w:rFonts w:ascii="Times New Roman" w:hAnsi="Times New Roman" w:cs="Times New Roman"/>
                <w:bCs w:val="1"/>
                <w:sz w:val="24"/>
                <w:szCs w:val="24"/>
              </w:rPr>
            </w:pPr>
          </w:p>
          <w:p>
            <w:pPr>
              <w:rPr>
                <w:rFonts w:ascii="Times New Roman" w:hAnsi="Times New Roman" w:cs="Times New Roman"/>
                <w:bCs w:val="1"/>
                <w:sz w:val="24"/>
                <w:szCs w:val="24"/>
                <w:lang w:val="en-US"/>
              </w:rPr>
            </w:pPr>
          </w:p>
        </w:tc>
      </w:tr>
    </w:tbl>
    <w:p>
      <w:pPr>
        <w:spacing w:after="0" w:beforeAutospacing="0" w:afterAutospacing="0"/>
        <w:rPr>
          <w:rFonts w:ascii="Times New Roman" w:hAnsi="Times New Roman" w:cs="Times New Roman"/>
          <w:sz w:val="24"/>
          <w:szCs w:val="24"/>
          <w:lang w:val="en-US"/>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29" w:type="dxa"/>
          </w:tcPr>
          <w:p>
            <w:pPr>
              <w:rPr>
                <w:rFonts w:ascii="Times New Roman" w:hAnsi="Times New Roman" w:cs="Times New Roman"/>
                <w:sz w:val="24"/>
                <w:szCs w:val="24"/>
                <w:lang w:val="en-US"/>
              </w:rPr>
            </w:pPr>
            <w:r>
              <w:rPr>
                <w:rFonts w:ascii="Times New Roman" w:hAnsi="Times New Roman" w:cs="Times New Roman"/>
                <w:bCs w:val="1"/>
                <w:sz w:val="24"/>
                <w:szCs w:val="24"/>
              </w:rPr>
              <w:t xml:space="preserve">Проект рішення: </w:t>
            </w:r>
            <w:r>
              <w:rPr>
                <w:rFonts w:ascii="Times New Roman" w:hAnsi="Times New Roman" w:cs="Times New Roman"/>
                <w:bCs w:val="1"/>
                <w:sz w:val="24"/>
                <w:szCs w:val="24"/>
                <w:lang w:val="en-US"/>
              </w:rPr>
              <w:t>1</w:t>
            </w:r>
            <w:r>
              <w:rPr>
                <w:rFonts w:ascii="Times New Roman" w:hAnsi="Times New Roman" w:cs="Times New Roman"/>
                <w:bCs w:val="1"/>
                <w:sz w:val="24"/>
                <w:szCs w:val="24"/>
              </w:rPr>
              <w:t>.</w:t>
            </w:r>
          </w:p>
        </w:tc>
      </w:tr>
      <w:tr>
        <w:tc>
          <w:tcPr>
            <w:tcW w:w="9629" w:type="dxa"/>
          </w:tcPr>
          <w:p>
            <w:pPr>
              <w:widowControl w:val="1"/>
              <w:spacing w:before="240" w:after="240"/>
            </w:pPr>
            <w:r>
              <w:t>Надати згоду на внесення ТОВАРИСТВОМ З ОБМЕЖЕНОЮ ВІДПОВІДАЛЬНІСТЮ «КОМПАНІ ІНВЕСТ ФІНАНС» змін до Рішення про емісію корпоративних облігацій, затвердженого рішенням Загальних зборів учасників ТОВ «КОМПАНІ ІНВЕСТ ФІНАНС» (до зміни найменування - ТОВ «ФІНАНСОВА КОМПАНІЯ «ІНВЕСТ ФІНАНС»), оформленого протоколом №01/02/2021 від 01.02.2021 року, в частині документа про цінні папери, а саме:</w:t>
            </w:r>
          </w:p>
          <w:p>
            <w:pPr>
              <w:widowControl w:val="1"/>
              <w:spacing w:before="240" w:after="240"/>
            </w:pPr>
            <w:r>
              <w:t>1. змінити умови та дату закінчення обігу облігацій - обіг облігацій триває до 14.05.2031 року.</w:t>
            </w:r>
          </w:p>
          <w:p>
            <w:pPr>
              <w:widowControl w:val="1"/>
              <w:spacing w:before="240" w:after="240"/>
            </w:pPr>
            <w:r>
              <w:t>2. доповнити Таблицю 1 «строку, у який облігації можуть бути пред'явлені їх власниками для викупу» наступними строками - </w:t>
            </w:r>
          </w:p>
          <w:tbl>
            <w:tblPr>
              <w:tblW w:w="0" w:type="auto"/>
              <w:tblCellSpacing w:w="15" w:type="dxa"/>
              <w:tblInd w:w="0" w:type="dxa"/>
              <w:tblBorders>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початку прийому повідомлень</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закінчення прийому повідомлень</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початку викупу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закінчення викупу</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03.05.2027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07.05.2027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21.05.2027</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08.05.2028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12.05.2028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26.05.2028</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07.05.2029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11.05.2029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25.05.2029</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06.05.2030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10.05.2030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24.05.2030</w:t>
                  </w:r>
                </w:p>
              </w:tc>
            </w:tr>
          </w:tbl>
          <w:p>
            <w:pPr>
              <w:widowControl w:val="1"/>
              <w:spacing w:before="240" w:after="240"/>
            </w:pPr>
            <w:r>
              <w:t> </w:t>
            </w:r>
          </w:p>
          <w:p>
            <w:pPr>
              <w:widowControl w:val="1"/>
              <w:spacing w:before="240" w:after="240"/>
            </w:pPr>
            <w:r>
              <w:t>3. змінити порядок виплати відсоткового доходу за облігаціями:</w:t>
            </w:r>
          </w:p>
          <w:p>
            <w:pPr>
              <w:widowControl w:val="1"/>
              <w:spacing w:before="240" w:after="240"/>
            </w:pPr>
            <w:r>
              <w:t>3.1. доповнити Таблицю 2 «дат початку і закінчення виплати доходу за облігаціями» наступними строками -:</w:t>
            </w:r>
          </w:p>
          <w:tbl>
            <w:tblPr>
              <w:tblW w:w="0" w:type="auto"/>
              <w:tblCellSpacing w:w="15" w:type="dxa"/>
              <w:tblInd w:w="0" w:type="dxa"/>
              <w:tblBorders>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Номер відсоткового періоду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початку відсоткового періоду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Дата закінчення відсоткового періоду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spacing w:before="240" w:after="240"/>
                  </w:pPr>
                  <w:r>
                    <w:t>Дата початку виплати</w:t>
                  </w:r>
                </w:p>
                <w:p>
                  <w:pPr>
                    <w:widowControl w:val="1"/>
                    <w:spacing w:before="240" w:after="240"/>
                  </w:pPr>
                  <w:r>
                    <w:t>відсоткового доходу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spacing w:before="240" w:after="240"/>
                  </w:pPr>
                  <w:r>
                    <w:t>Дата</w:t>
                  </w:r>
                </w:p>
                <w:p>
                  <w:pPr>
                    <w:widowControl w:val="1"/>
                    <w:spacing w:before="240" w:after="240"/>
                  </w:pPr>
                  <w:r>
                    <w:t>закінчення виплати відсоткового доходу</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Тривалість періоду, днів </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20.08.2026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19.11.2026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18.02.2027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24.08.2027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19.08.2027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18.11.2027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17.02.2028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23.05.2028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18.05.2028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17.08.2028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16.11.2028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32.</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15.02.2029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22.05.2029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33.</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17.05.2029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34.</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16.08.2029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35.</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15.11.2029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14.02.2030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37.</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16.05.2030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15.08.2030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19.11.2030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39</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14.11.2030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12.02.2031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18.02.2031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40.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13.02.2031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14.05.2031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15.05.2031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20.05.2031</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91</w:t>
                  </w:r>
                </w:p>
              </w:tc>
            </w:tr>
          </w:tbl>
          <w:p>
            <w:pPr>
              <w:widowControl w:val="1"/>
              <w:spacing w:before="240" w:after="240"/>
            </w:pPr>
            <w:r>
              <w:t>3.2. доповнити «заплановані відсотки (або межі, у яких емітент може визначити розмір відсоткового доходу за відсотковими облігаціями), метод розрахунку та порядок виплати відсоткового доходу, порядок оприлюднення інформації про розмір відсоткового доходу за облігаціями» наступного змісту:</w:t>
            </w:r>
          </w:p>
          <w:p>
            <w:pPr>
              <w:widowControl w:val="1"/>
              <w:spacing w:before="240" w:after="240"/>
            </w:pPr>
            <w:r>
              <w:t>Відсоткові ставки на 21-24, 25-28, 29-32, 33-36, 37-40 відсоткові періоди встановлюється за рішенням Загальних зборів Учасників Товариства, виходячи з ринкової кон'юнктури, але не може бути меншою, ніж ½ облікової ставки Національного банку України та не може бути більшою, ніж 30% (тридцять) відсотків річних.</w:t>
            </w:r>
          </w:p>
          <w:p>
            <w:pPr>
              <w:widowControl w:val="1"/>
              <w:spacing w:before="240" w:after="240"/>
            </w:pPr>
            <w:r>
              <w:t>3.3. доповнити Таблицю 3 «заплановані відсотки (або межі, у яких емітент може визначити розмір відсоткового доходу за відсотковими облігаціями), метод розрахунку та порядок виплати відсоткового доходу, порядок оприлюднення інформації про розмір відсоткового доходу за облігаціями» наступними строками -:</w:t>
            </w:r>
          </w:p>
          <w:tbl>
            <w:tblPr>
              <w:tblW w:w="0" w:type="auto"/>
              <w:tblCellSpacing w:w="15" w:type="dxa"/>
              <w:tblInd w:w="0" w:type="dxa"/>
              <w:tblBorders>
                <w:insideH w:val="none" w:sz="0" w:space="0" w:shadow="0" w:frame="0" w:color="000000"/>
                <w:insideV w:val="none" w:sz="0" w:space="0" w:shadow="0" w:frame="0" w:color="000000"/>
              </w:tblBorders>
              <w:tblLayout w:type="autofit"/>
              <w:tblCellMar>
                <w:top w:w="15" w:type="dxa"/>
                <w:left w:w="15" w:type="dxa"/>
                <w:bottom w:w="15" w:type="dxa"/>
                <w:right w:w="15" w:type="dxa"/>
              </w:tblCellMar>
            </w:tblPr>
            <w:tblGrid/>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Відсотковий період</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Термін, до якого Емітент зобов’язується повідомити про нову відсоткову ставку або підтвердити незмінність попередньої ставки</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21-24</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27.04.2026</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25-28</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27.04.2027</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29-32</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20.04.2028</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33-36</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17.04.2029</w:t>
                  </w:r>
                </w:p>
              </w:tc>
            </w:tr>
            <w:tr>
              <w:tc>
                <w:tcPr>
                  <w:tcW w:w="0" w:type="auto"/>
                  <w:tcBorders>
                    <w:top w:val="nil"/>
                    <w:left w:val="nil"/>
                    <w:bottom w:val="nil"/>
                    <w:right w:val="nil"/>
                  </w:tcBorders>
                  <w:tcMar>
                    <w:top w:w="15" w:type="dxa"/>
                    <w:left w:w="15" w:type="dxa"/>
                    <w:bottom w:w="15" w:type="dxa"/>
                    <w:right w:w="15" w:type="dxa"/>
                  </w:tcMar>
                  <w:vAlign w:val="center"/>
                  <w:hideMark/>
                </w:tcPr>
                <w:p>
                  <w:pPr>
                    <w:widowControl w:val="1"/>
                  </w:pPr>
                  <w:r>
                    <w:t>37-40</w:t>
                  </w:r>
                </w:p>
              </w:tc>
              <w:tc>
                <w:tcPr>
                  <w:tcW w:w="0" w:type="auto"/>
                  <w:tcBorders>
                    <w:top w:val="nil"/>
                    <w:left w:val="nil"/>
                    <w:bottom w:val="nil"/>
                    <w:right w:val="nil"/>
                  </w:tcBorders>
                  <w:tcMar>
                    <w:top w:w="15" w:type="dxa"/>
                    <w:left w:w="15" w:type="dxa"/>
                    <w:bottom w:w="15" w:type="dxa"/>
                    <w:right w:w="15" w:type="dxa"/>
                  </w:tcMar>
                  <w:vAlign w:val="center"/>
                  <w:hideMark/>
                </w:tcPr>
                <w:p>
                  <w:pPr>
                    <w:widowControl w:val="1"/>
                  </w:pPr>
                  <w:r>
                    <w:t>17.04.2030</w:t>
                  </w:r>
                </w:p>
              </w:tc>
            </w:tr>
          </w:tbl>
          <w:p>
            <w:pPr>
              <w:widowControl w:val="1"/>
              <w:spacing w:before="240" w:after="240"/>
            </w:pPr>
            <w:r>
              <w:t> </w:t>
            </w:r>
          </w:p>
          <w:p>
            <w:pPr>
              <w:widowControl w:val="1"/>
              <w:spacing w:before="240" w:after="240"/>
            </w:pPr>
            <w:r>
              <w:t>4. Змінити порядок погашення облігацій в частині дати початку і закінчення погашення облігацій – </w:t>
            </w:r>
          </w:p>
          <w:p>
            <w:pPr>
              <w:widowControl w:val="1"/>
              <w:spacing w:before="240" w:after="240"/>
            </w:pPr>
            <w:r>
              <w:t>Дата початку погашення облігацій серії А: 15.05.2031 року.</w:t>
            </w:r>
          </w:p>
          <w:p>
            <w:pPr>
              <w:widowControl w:val="1"/>
              <w:spacing w:before="240" w:after="240"/>
            </w:pPr>
            <w:r>
              <w:t>Дата закінчення погашення облігацій серії А: 23.05.2031 року.</w:t>
            </w:r>
          </w:p>
          <w:p>
            <w:pPr>
              <w:rPr>
                <w:rFonts w:ascii="Times New Roman" w:hAnsi="Times New Roman" w:cs="Times New Roman"/>
                <w:sz w:val="24"/>
                <w:szCs w:val="24"/>
                <w:lang w:val="en-US"/>
              </w:rPr>
            </w:pPr>
          </w:p>
        </w:tc>
      </w:tr>
      <w:tr>
        <w:tc>
          <w:tcPr>
            <w:tcW w:w="9629" w:type="dxa"/>
          </w:tcPr>
          <w:p>
            <w:pPr>
              <w:rPr>
                <w:rFonts w:ascii="Times New Roman" w:hAnsi="Times New Roman" w:cs="Times New Roman"/>
                <w:bCs w:val="1"/>
                <w:sz w:val="24"/>
                <w:szCs w:val="24"/>
                <w:lang w:val="ru-RU"/>
              </w:rPr>
            </w:pPr>
            <w:r>
              <w:rPr>
                <w:rFonts w:ascii="Times New Roman" w:hAnsi="Times New Roman" w:cs="Times New Roman"/>
                <w:bCs w:val="1"/>
                <w:sz w:val="24"/>
                <w:szCs w:val="24"/>
              </w:rPr>
              <w:tab/>
              <w:t>Результати голосування</w:t>
            </w:r>
            <w:r>
              <w:rPr>
                <w:rFonts w:ascii="Times New Roman" w:hAnsi="Times New Roman" w:cs="Times New Roman"/>
                <w:bCs w:val="1"/>
                <w:sz w:val="24"/>
                <w:szCs w:val="24"/>
                <w:lang w:val="ru-RU"/>
              </w:rPr>
              <w:t xml:space="preserve"> за</w:t>
            </w:r>
            <w:r>
              <w:rPr>
                <w:bCs w:val="1"/>
              </w:rPr>
              <w:t xml:space="preserve"> </w:t>
            </w:r>
            <w:r>
              <w:rPr>
                <w:rFonts w:ascii="Times New Roman" w:hAnsi="Times New Roman" w:cs="Times New Roman"/>
                <w:bCs w:val="1"/>
                <w:sz w:val="24"/>
                <w:szCs w:val="24"/>
                <w:lang w:val="ru-RU"/>
              </w:rPr>
              <w:t xml:space="preserve">випуском </w:t>
            </w:r>
            <w:r>
              <w:rPr>
                <w:rFonts w:ascii="Times New Roman" w:hAnsi="Times New Roman" w:cs="Times New Roman"/>
                <w:bCs w:val="1"/>
                <w:sz w:val="24"/>
                <w:szCs w:val="24"/>
                <w:lang w:val="ru-RU"/>
              </w:rPr>
              <w:t>UA5000006727</w:t>
            </w:r>
          </w:p>
          <w:p>
            <w:pPr>
              <w:rPr>
                <w:rFonts w:ascii="Times New Roman" w:hAnsi="Times New Roman" w:cs="Times New Roman"/>
                <w:bCs w:val="1"/>
                <w:sz w:val="24"/>
                <w:szCs w:val="24"/>
              </w:rPr>
            </w:pPr>
            <w:r>
              <w:rPr>
                <w:rFonts w:ascii="Times New Roman" w:hAnsi="Times New Roman" w:cs="Times New Roman"/>
                <w:bCs w:val="1"/>
                <w:sz w:val="24"/>
                <w:szCs w:val="24"/>
              </w:rPr>
              <w:tab/>
              <w:t xml:space="preserve">Кількість голосів «ЗА»: </w:t>
            </w:r>
            <w:r>
              <w:rPr>
                <w:rFonts w:ascii="Times New Roman" w:hAnsi="Times New Roman" w:cs="Times New Roman"/>
                <w:bCs w:val="1"/>
                <w:sz w:val="24"/>
                <w:szCs w:val="24"/>
              </w:rPr>
              <w:t>16 898 000</w:t>
            </w:r>
            <w:r>
              <w:rPr>
                <w:rFonts w:ascii="Times New Roman" w:hAnsi="Times New Roman" w:cs="Times New Roman"/>
                <w:bCs w:val="1"/>
                <w:sz w:val="24"/>
                <w:szCs w:val="24"/>
              </w:rPr>
              <w:t xml:space="preserve">, що складає </w:t>
            </w:r>
            <w:r>
              <w:rPr>
                <w:rFonts w:ascii="Times New Roman" w:hAnsi="Times New Roman" w:cs="Times New Roman"/>
                <w:bCs w:val="1"/>
                <w:sz w:val="24"/>
                <w:szCs w:val="24"/>
              </w:rPr>
              <w:t>88,93</w:t>
            </w:r>
            <w:r>
              <w:rPr>
                <w:rFonts w:ascii="Times New Roman" w:hAnsi="Times New Roman" w:cs="Times New Roman"/>
                <w:bCs w:val="1"/>
                <w:sz w:val="24"/>
                <w:szCs w:val="24"/>
              </w:rPr>
              <w:t>%;</w:t>
            </w:r>
          </w:p>
          <w:p>
            <w:pPr>
              <w:rPr>
                <w:rFonts w:ascii="Times New Roman" w:hAnsi="Times New Roman" w:cs="Times New Roman"/>
                <w:bCs w:val="1"/>
                <w:sz w:val="24"/>
                <w:szCs w:val="24"/>
              </w:rPr>
            </w:pPr>
            <w:r>
              <w:rPr>
                <w:rFonts w:ascii="Times New Roman" w:hAnsi="Times New Roman" w:cs="Times New Roman"/>
                <w:bCs w:val="1"/>
                <w:sz w:val="24"/>
                <w:szCs w:val="24"/>
              </w:rPr>
              <w:tab/>
              <w:t xml:space="preserve">Кількість голосів «ПРОТИ»: </w:t>
            </w:r>
            <w:r>
              <w:rPr>
                <w:rFonts w:ascii="Times New Roman" w:hAnsi="Times New Roman" w:cs="Times New Roman"/>
                <w:bCs w:val="1"/>
                <w:sz w:val="24"/>
                <w:szCs w:val="24"/>
              </w:rPr>
              <w:t>2 102 000</w:t>
            </w:r>
            <w:r>
              <w:rPr>
                <w:rFonts w:ascii="Times New Roman" w:hAnsi="Times New Roman" w:cs="Times New Roman"/>
                <w:bCs w:val="1"/>
                <w:sz w:val="24"/>
                <w:szCs w:val="24"/>
              </w:rPr>
              <w:t xml:space="preserve">, що складає </w:t>
            </w:r>
            <w:r>
              <w:rPr>
                <w:rFonts w:ascii="Times New Roman" w:hAnsi="Times New Roman" w:cs="Times New Roman"/>
                <w:bCs w:val="1"/>
                <w:sz w:val="24"/>
                <w:szCs w:val="24"/>
              </w:rPr>
              <w:t>11,06</w:t>
            </w:r>
            <w:r>
              <w:rPr>
                <w:rFonts w:ascii="Times New Roman" w:hAnsi="Times New Roman" w:cs="Times New Roman"/>
                <w:bCs w:val="1"/>
                <w:sz w:val="24"/>
                <w:szCs w:val="24"/>
              </w:rPr>
              <w:t>%;</w:t>
            </w:r>
          </w:p>
          <w:p>
            <w:pPr>
              <w:rPr>
                <w:rFonts w:ascii="Times New Roman" w:hAnsi="Times New Roman" w:cs="Times New Roman"/>
                <w:bCs w:val="1"/>
                <w:sz w:val="24"/>
                <w:szCs w:val="24"/>
              </w:rPr>
            </w:pPr>
            <w:r>
              <w:rPr>
                <w:rFonts w:ascii="Times New Roman" w:hAnsi="Times New Roman" w:cs="Times New Roman"/>
                <w:bCs w:val="1"/>
                <w:sz w:val="24"/>
                <w:szCs w:val="24"/>
              </w:rPr>
              <w:tab/>
              <w:t xml:space="preserve">Кількість голосів власників, що зареєструвалися, але не направили голоси: </w:t>
            </w:r>
            <w:r>
              <w:rPr>
                <w:rFonts w:ascii="Times New Roman" w:hAnsi="Times New Roman" w:cs="Times New Roman"/>
                <w:bCs w:val="1"/>
                <w:sz w:val="24"/>
                <w:szCs w:val="24"/>
                <w:lang w:val="ru-RU"/>
              </w:rPr>
              <w:t>0</w:t>
            </w:r>
            <w:r>
              <w:rPr>
                <w:rFonts w:ascii="Times New Roman" w:hAnsi="Times New Roman" w:cs="Times New Roman"/>
                <w:bCs w:val="1"/>
                <w:sz w:val="24"/>
                <w:szCs w:val="24"/>
              </w:rPr>
              <w:t>.</w:t>
            </w:r>
          </w:p>
          <w:p>
            <w:pPr>
              <w:widowControl w:val="1"/>
              <w:spacing w:before="240" w:after="240"/>
            </w:pPr>
            <w:r>
              <w:rPr>
                <w:rFonts w:ascii="Times New Roman" w:hAnsi="Times New Roman" w:cs="Times New Roman"/>
                <w:bCs w:val="1"/>
                <w:sz w:val="24"/>
                <w:szCs w:val="24"/>
              </w:rPr>
              <w:tab/>
              <w:t xml:space="preserve">Результат: </w:t>
            </w:r>
            <w:r>
              <w:rPr>
                <w:rFonts w:ascii="Times New Roman" w:hAnsi="Times New Roman" w:cs="Times New Roman"/>
                <w:bCs w:val="1"/>
                <w:sz w:val="24"/>
                <w:szCs w:val="24"/>
                <w:lang w:val="en-US"/>
              </w:rPr>
              <w:t>Прийнято</w:t>
            </w:r>
          </w:p>
        </w:tc>
      </w:tr>
    </w:tbl>
    <w:p>
      <w:pPr>
        <w:spacing w:after="0" w:beforeAutospacing="0" w:afterAutospacing="0"/>
        <w:rPr>
          <w:rFonts w:ascii="Times New Roman" w:hAnsi="Times New Roman" w:cs="Times New Roman"/>
          <w:sz w:val="24"/>
          <w:szCs w:val="24"/>
          <w:lang w:val="en-US"/>
        </w:rPr>
      </w:pPr>
    </w:p>
    <w:tbl>
      <w:tblPr>
        <w:tblStyle w:val="T2"/>
        <w:tblW w:w="9634"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autofit"/>
        <w:tblLook w:val="04A0"/>
      </w:tblPr>
      <w:tblGrid/>
      <w:tr>
        <w:tc>
          <w:tcPr>
            <w:tcW w:w="9634" w:type="dxa"/>
          </w:tcPr>
          <w:p>
            <w:pPr>
              <w:rPr>
                <w:rFonts w:ascii="Times New Roman" w:hAnsi="Times New Roman" w:cs="Times New Roman"/>
                <w:bCs w:val="1"/>
                <w:sz w:val="24"/>
                <w:szCs w:val="24"/>
                <w:lang w:val="en-US"/>
              </w:rPr>
            </w:pPr>
            <w:r>
              <w:rPr>
                <w:rFonts w:ascii="Times New Roman" w:hAnsi="Times New Roman" w:cs="Times New Roman"/>
                <w:bCs w:val="1"/>
                <w:sz w:val="24"/>
                <w:szCs w:val="24"/>
                <w:lang w:val="en-US"/>
              </w:rPr>
              <w:t>РІШЕННЯ ПРИЙНЯТО</w:t>
            </w:r>
          </w:p>
        </w:tc>
      </w:tr>
    </w:tbl>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sz w:val="24"/>
        </w:rPr>
      </w:pPr>
      <w:r>
        <w:rPr>
          <w:rFonts w:ascii="Times New Roman" w:hAnsi="Times New Roman"/>
          <w:sz w:val="24"/>
          <w:lang w:val="ru-RU"/>
        </w:rPr>
        <w:t>Г</w:t>
      </w:r>
      <w:r>
        <w:rPr>
          <w:rFonts w:ascii="Times New Roman" w:hAnsi="Times New Roman"/>
          <w:sz w:val="24"/>
        </w:rPr>
        <w:t>олосування проводилось з усіх питань порядку денного.</w:t>
      </w:r>
    </w:p>
    <w:p>
      <w:pPr>
        <w:spacing w:after="0" w:beforeAutospacing="0" w:afterAutospacing="0"/>
        <w:rPr>
          <w:rFonts w:ascii="Times New Roman" w:hAnsi="Times New Roman"/>
          <w:sz w:val="24"/>
        </w:rPr>
      </w:pPr>
    </w:p>
    <w:p>
      <w:pPr>
        <w:spacing w:after="0" w:beforeAutospacing="0" w:afterAutospacing="0"/>
        <w:rPr>
          <w:rFonts w:ascii="Times New Roman" w:hAnsi="Times New Roman" w:cs="Times New Roman"/>
          <w:sz w:val="24"/>
          <w:szCs w:val="28"/>
        </w:rPr>
      </w:pPr>
      <w:r>
        <w:rPr>
          <w:rFonts w:ascii="Times New Roman" w:hAnsi="Times New Roman"/>
          <w:sz w:val="24"/>
        </w:rPr>
        <w:t>Документ підписано кваліфікованим електронним підписом уповноваженої особи ПАТ «НДУ»</w:t>
      </w:r>
      <w:r>
        <w:rPr>
          <w:rFonts w:ascii="Times New Roman" w:hAnsi="Times New Roman" w:cs="Times New Roman"/>
          <w:sz w:val="24"/>
          <w:szCs w:val="28"/>
        </w:rPr>
        <w:t>.</w:t>
      </w:r>
    </w:p>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rPr>
      </w:pPr>
    </w:p>
    <w:p>
      <w:pPr>
        <w:spacing w:after="0" w:beforeAutospacing="0" w:afterAutospacing="0"/>
        <w:rPr>
          <w:rFonts w:ascii="Times New Roman" w:hAnsi="Times New Roman" w:cs="Times New Roman"/>
          <w:sz w:val="24"/>
          <w:szCs w:val="24"/>
        </w:rPr>
      </w:pPr>
    </w:p>
    <w:sectPr>
      <w:type w:val="nextPage"/>
      <w:pgSz w:w="11906" w:h="16838" w:code="0"/>
      <w:pgMar w:left="1417" w:right="850" w:top="850" w:bottom="85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uk-U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7"/>
    <w:qFormat/>
    <w:pPr>
      <w:keepNext w:val="1"/>
      <w:keepLines w:val="1"/>
      <w:spacing w:before="240" w:after="0" w:beforeAutospacing="0" w:afterAutospacing="0"/>
      <w:outlineLvl w:val="0"/>
    </w:pPr>
    <w:rPr>
      <w:rFonts w:asciiTheme="majorHAnsi" w:hAnsiTheme="majorHAnsi" w:cstheme="majorBidi" w:eastAsiaTheme="majorEastAsia"/>
      <w:color w:val="2E75B5" w:themeColor="accent1" w:themeShade="BF"/>
      <w:sz w:val="32"/>
      <w:szCs w:val="32"/>
    </w:rPr>
  </w:style>
  <w:style w:type="paragraph" w:styleId="P2">
    <w:name w:val="annotation text"/>
    <w:basedOn w:val="P0"/>
    <w:link w:val="C4"/>
    <w:semiHidden/>
    <w:pPr>
      <w:spacing w:lineRule="auto" w:line="240" w:beforeAutospacing="0" w:afterAutospacing="0"/>
    </w:pPr>
    <w:rPr>
      <w:sz w:val="20"/>
      <w:szCs w:val="20"/>
    </w:rPr>
  </w:style>
  <w:style w:type="paragraph" w:styleId="P3">
    <w:name w:val="annotation subject"/>
    <w:basedOn w:val="P2"/>
    <w:next w:val="P2"/>
    <w:link w:val="C5"/>
    <w:semiHidden/>
    <w:pPr/>
    <w:rPr>
      <w:b w:val="1"/>
      <w:bCs w:val="1"/>
    </w:rPr>
  </w:style>
  <w:style w:type="paragraph" w:styleId="P4">
    <w:name w:val="Balloon Text"/>
    <w:basedOn w:val="P0"/>
    <w:link w:val="C6"/>
    <w:semiHidden/>
    <w:pPr>
      <w:spacing w:lineRule="auto" w:line="240" w:after="0" w:beforeAutospacing="0" w:afterAutospacing="0"/>
    </w:pPr>
    <w:rPr>
      <w:rFonts w:ascii="Segoe UI" w:hAnsi="Segoe UI" w:cs="Segoe UI"/>
      <w:sz w:val="18"/>
      <w:szCs w:val="1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annotation reference"/>
    <w:basedOn w:val="C0"/>
    <w:semiHidden/>
    <w:rPr>
      <w:sz w:val="16"/>
      <w:szCs w:val="16"/>
    </w:rPr>
  </w:style>
  <w:style w:type="character" w:styleId="C4">
    <w:name w:val="Текст примечания Знак"/>
    <w:basedOn w:val="C0"/>
    <w:link w:val="P2"/>
    <w:semiHidden/>
    <w:rPr>
      <w:sz w:val="20"/>
      <w:szCs w:val="20"/>
    </w:rPr>
  </w:style>
  <w:style w:type="character" w:styleId="C5">
    <w:name w:val="Тема примечания Знак"/>
    <w:basedOn w:val="C4"/>
    <w:link w:val="P3"/>
    <w:semiHidden/>
    <w:rPr>
      <w:b w:val="1"/>
      <w:bCs w:val="1"/>
      <w:sz w:val="20"/>
      <w:szCs w:val="20"/>
    </w:rPr>
  </w:style>
  <w:style w:type="character" w:styleId="C6">
    <w:name w:val="Текст выноски Знак"/>
    <w:basedOn w:val="C0"/>
    <w:link w:val="P4"/>
    <w:semiHidden/>
    <w:rPr>
      <w:rFonts w:ascii="Segoe UI" w:hAnsi="Segoe UI" w:cs="Segoe UI"/>
      <w:sz w:val="18"/>
      <w:szCs w:val="18"/>
    </w:rPr>
  </w:style>
  <w:style w:type="character" w:styleId="C7">
    <w:name w:val="Заголовок 1 Знак"/>
    <w:basedOn w:val="C0"/>
    <w:link w:val="P1"/>
    <w:rPr>
      <w:rFonts w:asciiTheme="majorHAnsi" w:hAnsiTheme="majorHAnsi" w:cstheme="majorBidi" w:eastAsiaTheme="majorEastAsia"/>
      <w:color w:val="2E75B5" w:themeColor="accent1" w:themeShade="BF"/>
      <w:sz w:val="32"/>
      <w:szCs w:val="32"/>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1e72d-3d48-4146-b528-5ef54b0d5865}">
  <ds:schemaRefs>
    <ds:schemaRef ds:uri="http://schemas.microsoft.com/vsto/samples"/>
  </ds:schemaRefs>
</ds:datastoreItem>
</file>

<file path=docProps/app.xml><?xml version="1.0" encoding="utf-8"?>
<Properties xmlns="http://schemas.openxmlformats.org/officeDocument/2006/extended-properties">
  <Application>DevExpress Office File API/22.2.3.0</Application>
  <AppVersion>22.2</AppVersion>
  <Company>NDU</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Panchugin Dmytro</dc:creator>
  <dcterms:created xsi:type="dcterms:W3CDTF">2021-01-18T09:49:00Z</dcterms:created>
  <dcterms:modified xsi:type="dcterms:W3CDTF">2026-04-07T13:00:16Z</dcterms:modified>
  <cp:revision>173</cp:revision>
</cp:coreProperties>
</file>